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 owns the AI your company would depend on, and what happens if that changes?</w:t>
      </w:r>
    </w:p>
    <w:p>
      <w:pPr>
        <w:pStyle w:val="IntenseQuote"/>
      </w:pPr>
      <w:r>
        <w:t>Handbook chapter: Geopolitics and vendor models · Team 08 · 2026 cohort · SME: persona, a Dutch family-owned builder of professional coffee-roasting and food-processing machines, 50–249 staff, exporting worldwide · Sources appraised: 26 September 2026 · Answers E1 and I1</w:t>
      </w:r>
    </w:p>
    <w:p>
      <w:pPr>
        <w:pStyle w:val="Heading1"/>
      </w:pPr>
      <w:r>
        <w:t>The question, for this kind of SME</w:t>
      </w:r>
    </w:p>
    <w:p>
      <w:r>
        <w:rPr>
          <w:i/>
        </w:rPr>
        <w:t>“We design our machines, plan our workshop and serve our customers with software we buy from others, and more and more of it contains AI. Whose tools are we really relying on, and what happens to our business if that company, its owners or its government change course?”</w:t>
      </w:r>
    </w:p>
    <w:p>
      <w:r>
        <w:t xml:space="preserve">This is no longer a distant question: 45% of Dutch firms with 50–250 staff used AI in 2025, up from 20% in 2023 [S13]. </w:t>
      </w:r>
      <w:r>
        <w:rPr>
          <w:i/>
        </w:rPr>
        <w:t>Interpretation:</w:t>
      </w:r>
      <w:r>
        <w:t xml:space="preserve"> firms of this size rarely build AI themselves; they buy it inside software from other companies.</w:t>
      </w:r>
    </w:p>
    <w:p>
      <w:pPr>
        <w:pStyle w:val="Heading1"/>
      </w:pPr>
      <w:r>
        <w:t>The translation</w:t>
      </w:r>
    </w:p>
    <w:p>
      <w:pPr>
        <w:pStyle w:val="Heading2"/>
      </w:pPr>
      <w:r>
        <w:t>Who builds the tools, and who owns them</w:t>
      </w:r>
    </w:p>
    <w:p>
      <w:pPr>
        <w:pStyle w:val="ListBullet"/>
      </w:pPr>
      <w:r>
        <w:rPr>
          <w:b/>
        </w:rPr>
        <w:t>The AI models.</w:t>
      </w:r>
      <w:r>
        <w:t xml:space="preserve"> Around 70% of the foundation AI models developed since 2017 came from the United States [S1, p. 24].</w:t>
      </w:r>
    </w:p>
    <w:p>
      <w:pPr>
        <w:pStyle w:val="ListBullet"/>
      </w:pPr>
      <w:r>
        <w:rPr>
          <w:b/>
        </w:rPr>
        <w:t>The cloud they run on.</w:t>
      </w:r>
      <w:r>
        <w:t xml:space="preserve"> Amazon, Microsoft and Google together hold about 70% of the European cloud market. All European providers together hold about 15%, and the largest of them (SAP, Deutsche Telekom) about 2% each [S2].</w:t>
      </w:r>
    </w:p>
    <w:p>
      <w:pPr>
        <w:pStyle w:val="ListBullet"/>
      </w:pPr>
      <w:r>
        <w:rPr>
          <w:b/>
        </w:rPr>
        <w:t>The business software of a machine builder.</w:t>
      </w:r>
      <w:r>
        <w:t xml:space="preserve"> A Dutch name does not mean Dutch ownership. Exact (Delft), used by many Dutch SMEs, has been owned by the US investment firm KKR since 2019 [S3]. Ridder iQ, an ERP system aimed at metal and machine-building firms, is sold by ECI Software Solutions [S4], based in Fort Worth, Texas; in 2020 the Los Angeles private-equity firm Leonard Green agreed to take a majority stake in it [S5].</w:t>
      </w:r>
    </w:p>
    <w:p>
      <w:pPr>
        <w:pStyle w:val="ListBullet"/>
      </w:pPr>
      <w:r>
        <w:rPr>
          <w:i/>
        </w:rPr>
        <w:t>Interpretation:</w:t>
      </w:r>
      <w:r>
        <w:t xml:space="preserve"> AI features inside business software usually call a model from one of the large providers. Ask each vendor for its list of subprocessors instead of assuming.</w:t>
      </w:r>
    </w:p>
    <w:p>
      <w:pPr>
        <w:pStyle w:val="Heading2"/>
      </w:pPr>
      <w:r>
        <w:t>Four ways a change reaches your company</w:t>
      </w:r>
    </w:p>
    <w:tbl>
      <w:tblPr>
        <w:tblStyle w:val="TableGrid"/>
        <w:tblW w:type="auto" w:w="0"/>
        <w:jc w:val="center"/>
        <w:tblLayout w:type="fixed"/>
        <w:tblLook w:firstColumn="1" w:firstRow="1" w:lastColumn="0" w:lastRow="0" w:noHBand="0" w:noVBand="1" w:val="04A0"/>
      </w:tblPr>
      <w:tblGrid>
        <w:gridCol w:w="1944"/>
        <w:gridCol w:w="4608"/>
        <w:gridCol w:w="2808"/>
      </w:tblGrid>
      <w:tr>
        <w:trPr>
          <w:cantSplit w:val="true"/>
          <w:tblHeader w:val="true"/>
        </w:trPr>
        <w:tc>
          <w:tcPr>
            <w:tcW w:type="dxa" w:w="1944"/>
            <w:shd w:val="clear" w:color="auto" w:fill="DCE6F0"/>
          </w:tcPr>
          <w:p>
            <w:pPr>
              <w:spacing w:after="20" w:line="240" w:lineRule="auto"/>
            </w:pPr>
            <w:r/>
            <w:r>
              <w:rPr>
                <w:b/>
                <w:sz w:val="18"/>
              </w:rPr>
              <w:t>What changes</w:t>
            </w:r>
          </w:p>
        </w:tc>
        <w:tc>
          <w:tcPr>
            <w:tcW w:type="dxa" w:w="4608"/>
            <w:shd w:val="clear" w:color="auto" w:fill="DCE6F0"/>
          </w:tcPr>
          <w:p>
            <w:pPr>
              <w:spacing w:after="20" w:line="240" w:lineRule="auto"/>
            </w:pPr>
            <w:r/>
            <w:r>
              <w:rPr>
                <w:b/>
                <w:sz w:val="18"/>
              </w:rPr>
              <w:t>What has actually happened</w:t>
            </w:r>
          </w:p>
        </w:tc>
        <w:tc>
          <w:tcPr>
            <w:tcW w:type="dxa" w:w="2808"/>
            <w:shd w:val="clear" w:color="auto" w:fill="DCE6F0"/>
          </w:tcPr>
          <w:p>
            <w:pPr>
              <w:spacing w:after="20" w:line="240" w:lineRule="auto"/>
            </w:pPr>
            <w:r/>
            <w:r>
              <w:rPr>
                <w:b/>
                <w:sz w:val="18"/>
              </w:rPr>
              <w:t>What it means for you</w:t>
            </w:r>
          </w:p>
        </w:tc>
      </w:tr>
      <w:tr>
        <w:trPr>
          <w:cantSplit w:val="true"/>
        </w:trPr>
        <w:tc>
          <w:tcPr>
            <w:tcW w:type="dxa" w:w="1944"/>
          </w:tcPr>
          <w:p>
            <w:pPr>
              <w:spacing w:after="20" w:line="240" w:lineRule="auto"/>
            </w:pPr>
            <w:r/>
            <w:r>
              <w:rPr>
                <w:b/>
                <w:sz w:val="18"/>
              </w:rPr>
              <w:t>Who can legally reach your data</w:t>
            </w:r>
          </w:p>
        </w:tc>
        <w:tc>
          <w:tcPr>
            <w:tcW w:type="dxa" w:w="4608"/>
          </w:tcPr>
          <w:p>
            <w:pPr>
              <w:spacing w:after="20" w:line="240" w:lineRule="auto"/>
            </w:pPr>
            <w:r/>
            <w:r>
              <w:rPr>
                <w:sz w:val="18"/>
              </w:rPr>
              <w:t>Under the US CLOUD Act, US authorities can demand data from US companies wherever it is stored. At a French Senate hearing in June 2025, Microsoft France’s director of public and legal affairs said he could not guarantee that French customer data would never be handed over [S6].</w:t>
            </w:r>
          </w:p>
        </w:tc>
        <w:tc>
          <w:tcPr>
            <w:tcW w:type="dxa" w:w="2808"/>
          </w:tcPr>
          <w:p>
            <w:pPr>
              <w:spacing w:after="20" w:line="240" w:lineRule="auto"/>
            </w:pPr>
            <w:r/>
            <w:r>
              <w:rPr>
                <w:sz w:val="18"/>
              </w:rPr>
              <w:t>An EU data centre is not out of reach of US law. Ask who has legal control, not only where the server is.</w:t>
            </w:r>
          </w:p>
        </w:tc>
      </w:tr>
      <w:tr>
        <w:trPr>
          <w:cantSplit w:val="true"/>
        </w:trPr>
        <w:tc>
          <w:tcPr>
            <w:tcW w:type="dxa" w:w="1944"/>
          </w:tcPr>
          <w:p>
            <w:pPr>
              <w:spacing w:after="20" w:line="240" w:lineRule="auto"/>
            </w:pPr>
            <w:r/>
            <w:r>
              <w:rPr>
                <w:b/>
                <w:sz w:val="18"/>
              </w:rPr>
              <w:t>Whether you can use the tool at all</w:t>
            </w:r>
          </w:p>
        </w:tc>
        <w:tc>
          <w:tcPr>
            <w:tcW w:type="dxa" w:w="4608"/>
          </w:tcPr>
          <w:p>
            <w:pPr>
              <w:spacing w:after="20" w:line="240" w:lineRule="auto"/>
            </w:pPr>
            <w:r/>
            <w:r>
              <w:rPr>
                <w:sz w:val="18"/>
              </w:rPr>
              <w:t>On 12 June 2026 a US export-control directive made Anthropic suspend access to two of its AI models for all non-US persons [S7]. The restriction was lifted about three weeks later [S8].</w:t>
            </w:r>
          </w:p>
        </w:tc>
        <w:tc>
          <w:tcPr>
            <w:tcW w:type="dxa" w:w="2808"/>
          </w:tcPr>
          <w:p>
            <w:pPr>
              <w:spacing w:after="20" w:line="240" w:lineRule="auto"/>
            </w:pPr>
            <w:r/>
            <w:r>
              <w:rPr>
                <w:sz w:val="18"/>
              </w:rPr>
              <w:t>A foreign government can switch off a tool you pay for, overnight, for reasons that have nothing to do with you.</w:t>
            </w:r>
          </w:p>
        </w:tc>
      </w:tr>
      <w:tr>
        <w:trPr>
          <w:cantSplit w:val="true"/>
        </w:trPr>
        <w:tc>
          <w:tcPr>
            <w:tcW w:type="dxa" w:w="1944"/>
          </w:tcPr>
          <w:p>
            <w:pPr>
              <w:spacing w:after="20" w:line="240" w:lineRule="auto"/>
            </w:pPr>
            <w:r/>
            <w:r>
              <w:rPr>
                <w:b/>
                <w:sz w:val="18"/>
              </w:rPr>
              <w:t>Which features reach Europe</w:t>
            </w:r>
          </w:p>
        </w:tc>
        <w:tc>
          <w:tcPr>
            <w:tcW w:type="dxa" w:w="4608"/>
          </w:tcPr>
          <w:p>
            <w:pPr>
              <w:spacing w:after="20" w:line="240" w:lineRule="auto"/>
            </w:pPr>
            <w:r/>
            <w:r>
              <w:rPr>
                <w:sz w:val="18"/>
              </w:rPr>
              <w:t>In July 2024 Meta said it would not release its coming multimodal AI models in the EU, citing an unpredictable regulatory environment [S9].</w:t>
            </w:r>
          </w:p>
        </w:tc>
        <w:tc>
          <w:tcPr>
            <w:tcW w:type="dxa" w:w="2808"/>
          </w:tcPr>
          <w:p>
            <w:pPr>
              <w:spacing w:after="20" w:line="240" w:lineRule="auto"/>
            </w:pPr>
            <w:r/>
            <w:r>
              <w:rPr>
                <w:sz w:val="18"/>
              </w:rPr>
              <w:t>A feature on a vendor’s roadmap may reach the EU late, or never.</w:t>
            </w:r>
          </w:p>
        </w:tc>
      </w:tr>
      <w:tr>
        <w:trPr>
          <w:cantSplit w:val="true"/>
        </w:trPr>
        <w:tc>
          <w:tcPr>
            <w:tcW w:type="dxa" w:w="1944"/>
          </w:tcPr>
          <w:p>
            <w:pPr>
              <w:spacing w:after="20" w:line="240" w:lineRule="auto"/>
            </w:pPr>
            <w:r/>
            <w:r>
              <w:rPr>
                <w:b/>
                <w:sz w:val="18"/>
              </w:rPr>
              <w:t>Where your staff’s inputs go</w:t>
            </w:r>
          </w:p>
        </w:tc>
        <w:tc>
          <w:tcPr>
            <w:tcW w:type="dxa" w:w="4608"/>
          </w:tcPr>
          <w:p>
            <w:pPr>
              <w:spacing w:after="20" w:line="240" w:lineRule="auto"/>
            </w:pPr>
            <w:r/>
            <w:r>
              <w:rPr>
                <w:sz w:val="18"/>
              </w:rPr>
              <w:t>In January 2025 the Dutch data-protection authority (AP) warned against entering personal data into the Chinese chatbot DeepSeek, which stores data in China [S10].</w:t>
            </w:r>
          </w:p>
        </w:tc>
        <w:tc>
          <w:tcPr>
            <w:tcW w:type="dxa" w:w="2808"/>
          </w:tcPr>
          <w:p>
            <w:pPr>
              <w:spacing w:after="20" w:line="240" w:lineRule="auto"/>
            </w:pPr>
            <w:r/>
            <w:r>
              <w:rPr>
                <w:sz w:val="18"/>
              </w:rPr>
              <w:t>Free tools that staff choose themselves can send drawings or customer data to countries you would never pick.</w:t>
            </w:r>
          </w:p>
        </w:tc>
      </w:tr>
    </w:tbl>
    <w:p>
      <w:pPr>
        <w:spacing w:after="40" w:line="192" w:lineRule="auto"/>
      </w:pPr>
    </w:p>
    <w:p>
      <w:pPr>
        <w:pStyle w:val="Heading2"/>
      </w:pPr>
      <w:r>
        <w:t>What EU law gives a machine builder</w:t>
      </w:r>
    </w:p>
    <w:p>
      <w:pPr>
        <w:pStyle w:val="ListBullet"/>
      </w:pPr>
      <w:r>
        <w:rPr>
          <w:b/>
        </w:rPr>
        <w:t>A right to leave.</w:t>
      </w:r>
      <w:r>
        <w:t xml:space="preserve"> The Data Act has applied since 12 September 2025. It gives customers the right to switch cloud and data-processing providers, and from 12 January 2027 providers may no longer charge for switching or for taking data out [S11]. Use this in every software contract.</w:t>
      </w:r>
    </w:p>
    <w:p>
      <w:pPr>
        <w:pStyle w:val="ListBullet"/>
      </w:pPr>
      <w:r>
        <w:rPr>
          <w:b/>
        </w:rPr>
        <w:t>Duties for machines that collect data.</w:t>
      </w:r>
      <w:r>
        <w:t xml:space="preserve"> Under the same Data Act, whoever holds the data from a connected product (usually its maker) must tell users what data the product generates and make it available to them free of charge. Micro and small companies are largely exempt, but a medium-sized machine builder is not [S11]. </w:t>
      </w:r>
      <w:r>
        <w:rPr>
          <w:i/>
        </w:rPr>
        <w:t>Interpretation:</w:t>
      </w:r>
      <w:r>
        <w:t xml:space="preserve"> if your roasters or your roasting software collect usage data, your customers can ask for it.</w:t>
      </w:r>
    </w:p>
    <w:p>
      <w:pPr>
        <w:pStyle w:val="ListBullet"/>
      </w:pPr>
      <w:r>
        <w:rPr>
          <w:b/>
        </w:rPr>
        <w:t>More time on high-risk AI.</w:t>
      </w:r>
      <w:r>
        <w:t xml:space="preserve"> The July 2026 amendment of the AI Act moved the high-risk rules to 2 December 2027 for stand-alone systems and 2 August 2028 for AI built into regulated products; AI in machinery will follow the machinery rules [S12].</w:t>
      </w:r>
    </w:p>
    <w:p>
      <w:pPr>
        <w:pStyle w:val="Heading1"/>
      </w:pPr>
      <w:r>
        <w:t>Illustrative use case (CRISP-DM): a dependency check before choosing a planning tool</w:t>
      </w:r>
    </w:p>
    <w:tbl>
      <w:tblPr>
        <w:tblStyle w:val="TableGrid"/>
        <w:tblW w:type="auto" w:w="0"/>
        <w:jc w:val="center"/>
        <w:tblLayout w:type="fixed"/>
        <w:tblLook w:firstColumn="1" w:firstRow="1" w:lastColumn="0" w:lastRow="0" w:noHBand="0" w:noVBand="1" w:val="04A0"/>
      </w:tblPr>
      <w:tblGrid>
        <w:gridCol w:w="2304"/>
        <w:gridCol w:w="7056"/>
      </w:tblGrid>
      <w:tr>
        <w:trPr>
          <w:cantSplit w:val="true"/>
          <w:tblHeader w:val="true"/>
        </w:trPr>
        <w:tc>
          <w:tcPr>
            <w:tcW w:type="dxa" w:w="2304"/>
            <w:shd w:val="clear" w:color="auto" w:fill="DCE6F0"/>
          </w:tcPr>
          <w:p>
            <w:pPr>
              <w:spacing w:after="20" w:line="240" w:lineRule="auto"/>
            </w:pPr>
            <w:r/>
            <w:r>
              <w:rPr>
                <w:b/>
                <w:sz w:val="18"/>
              </w:rPr>
              <w:t>Phase</w:t>
            </w:r>
          </w:p>
        </w:tc>
        <w:tc>
          <w:tcPr>
            <w:tcW w:type="dxa" w:w="7056"/>
            <w:shd w:val="clear" w:color="auto" w:fill="DCE6F0"/>
          </w:tcPr>
          <w:p>
            <w:pPr>
              <w:spacing w:after="20" w:line="240" w:lineRule="auto"/>
            </w:pPr>
            <w:r/>
            <w:r>
              <w:rPr>
                <w:b/>
                <w:sz w:val="18"/>
              </w:rPr>
              <w:t>What the company does</w:t>
            </w:r>
          </w:p>
        </w:tc>
      </w:tr>
      <w:tr>
        <w:trPr>
          <w:cantSplit w:val="true"/>
        </w:trPr>
        <w:tc>
          <w:tcPr>
            <w:tcW w:type="dxa" w:w="2304"/>
          </w:tcPr>
          <w:p>
            <w:pPr>
              <w:spacing w:after="20" w:line="240" w:lineRule="auto"/>
            </w:pPr>
            <w:r/>
            <w:r>
              <w:rPr>
                <w:sz w:val="18"/>
              </w:rPr>
              <w:t>1. Business understanding</w:t>
            </w:r>
          </w:p>
        </w:tc>
        <w:tc>
          <w:tcPr>
            <w:tcW w:type="dxa" w:w="7056"/>
          </w:tcPr>
          <w:p>
            <w:pPr>
              <w:spacing w:after="20" w:line="240" w:lineRule="auto"/>
            </w:pPr>
            <w:r/>
            <w:r>
              <w:rPr>
                <w:sz w:val="18"/>
              </w:rPr>
              <w:t>The owner wants to try an AI-assisted planning tool. The question: can we try it without creating a dependence we cannot leave? Success: a go/no-go decision, with an exit route, within two weeks.</w:t>
            </w:r>
          </w:p>
        </w:tc>
      </w:tr>
      <w:tr>
        <w:trPr>
          <w:cantSplit w:val="true"/>
        </w:trPr>
        <w:tc>
          <w:tcPr>
            <w:tcW w:type="dxa" w:w="2304"/>
          </w:tcPr>
          <w:p>
            <w:pPr>
              <w:spacing w:after="20" w:line="240" w:lineRule="auto"/>
            </w:pPr>
            <w:r/>
            <w:r>
              <w:rPr>
                <w:sz w:val="18"/>
              </w:rPr>
              <w:t>2. Data understanding</w:t>
            </w:r>
          </w:p>
        </w:tc>
        <w:tc>
          <w:tcPr>
            <w:tcW w:type="dxa" w:w="7056"/>
          </w:tcPr>
          <w:p>
            <w:pPr>
              <w:spacing w:after="20" w:line="240" w:lineRule="auto"/>
            </w:pPr>
            <w:r/>
            <w:r>
              <w:rPr>
                <w:sz w:val="18"/>
              </w:rPr>
              <w:t>List what the tool would receive: order dates, routings and capacity, which is controlled data. List what it must never receive: customer drawings, recipes and prices, which is red data (see the AI-safety chapter).</w:t>
            </w:r>
          </w:p>
        </w:tc>
      </w:tr>
      <w:tr>
        <w:trPr>
          <w:cantSplit w:val="true"/>
        </w:trPr>
        <w:tc>
          <w:tcPr>
            <w:tcW w:type="dxa" w:w="2304"/>
          </w:tcPr>
          <w:p>
            <w:pPr>
              <w:spacing w:after="20" w:line="240" w:lineRule="auto"/>
            </w:pPr>
            <w:r/>
            <w:r>
              <w:rPr>
                <w:sz w:val="18"/>
              </w:rPr>
              <w:t>3. Data preparation</w:t>
            </w:r>
          </w:p>
        </w:tc>
        <w:tc>
          <w:tcPr>
            <w:tcW w:type="dxa" w:w="7056"/>
          </w:tcPr>
          <w:p>
            <w:pPr>
              <w:spacing w:after="20" w:line="240" w:lineRule="auto"/>
            </w:pPr>
            <w:r/>
            <w:r>
              <w:rPr>
                <w:sz w:val="18"/>
              </w:rPr>
              <w:t>Before uploading anything, check that the same data can be exported again in a standard format (CSV or Excel).</w:t>
            </w:r>
          </w:p>
        </w:tc>
      </w:tr>
      <w:tr>
        <w:trPr>
          <w:cantSplit w:val="true"/>
        </w:trPr>
        <w:tc>
          <w:tcPr>
            <w:tcW w:type="dxa" w:w="2304"/>
          </w:tcPr>
          <w:p>
            <w:pPr>
              <w:spacing w:after="20" w:line="240" w:lineRule="auto"/>
            </w:pPr>
            <w:r/>
            <w:r>
              <w:rPr>
                <w:sz w:val="18"/>
              </w:rPr>
              <w:t>4. Modelling</w:t>
            </w:r>
          </w:p>
        </w:tc>
        <w:tc>
          <w:tcPr>
            <w:tcW w:type="dxa" w:w="7056"/>
          </w:tcPr>
          <w:p>
            <w:pPr>
              <w:spacing w:after="20" w:line="240" w:lineRule="auto"/>
            </w:pPr>
            <w:r/>
            <w:r>
              <w:rPr>
                <w:sz w:val="18"/>
              </w:rPr>
              <w:t>No AI needed: score two candidate vendors 0–2 on five points in a spreadsheet. The points are the country of the vendor and its model provider, data location, export and exit terms, EU availability of features, and ownership stability.</w:t>
            </w:r>
          </w:p>
        </w:tc>
      </w:tr>
      <w:tr>
        <w:trPr>
          <w:cantSplit w:val="true"/>
        </w:trPr>
        <w:tc>
          <w:tcPr>
            <w:tcW w:type="dxa" w:w="2304"/>
          </w:tcPr>
          <w:p>
            <w:pPr>
              <w:spacing w:after="20" w:line="240" w:lineRule="auto"/>
            </w:pPr>
            <w:r/>
            <w:r>
              <w:rPr>
                <w:sz w:val="18"/>
              </w:rPr>
              <w:t>5. Evaluation</w:t>
            </w:r>
          </w:p>
        </w:tc>
        <w:tc>
          <w:tcPr>
            <w:tcW w:type="dxa" w:w="7056"/>
          </w:tcPr>
          <w:p>
            <w:pPr>
              <w:spacing w:after="20" w:line="240" w:lineRule="auto"/>
            </w:pPr>
            <w:r/>
            <w:r>
              <w:rPr>
                <w:sz w:val="18"/>
              </w:rPr>
              <w:t>Weigh dependence alongside function and price. A slightly weaker tool with less dependence can be the safer first choice.</w:t>
            </w:r>
          </w:p>
        </w:tc>
      </w:tr>
      <w:tr>
        <w:trPr>
          <w:cantSplit w:val="true"/>
        </w:trPr>
        <w:tc>
          <w:tcPr>
            <w:tcW w:type="dxa" w:w="2304"/>
          </w:tcPr>
          <w:p>
            <w:pPr>
              <w:spacing w:after="20" w:line="240" w:lineRule="auto"/>
            </w:pPr>
            <w:r/>
            <w:r>
              <w:rPr>
                <w:sz w:val="18"/>
              </w:rPr>
              <w:t>6. Deployment</w:t>
            </w:r>
          </w:p>
        </w:tc>
        <w:tc>
          <w:tcPr>
            <w:tcW w:type="dxa" w:w="7056"/>
          </w:tcPr>
          <w:p>
            <w:pPr>
              <w:spacing w:after="20" w:line="240" w:lineRule="auto"/>
            </w:pPr>
            <w:r/>
            <w:r>
              <w:rPr>
                <w:sz w:val="18"/>
              </w:rPr>
              <w:t>Sign with an exit clause, run a four-week trial with the existing planning in parallel, and review the vendor list every six months.</w:t>
            </w:r>
          </w:p>
        </w:tc>
      </w:tr>
    </w:tbl>
    <w:p>
      <w:pPr>
        <w:spacing w:after="40" w:line="192" w:lineRule="auto"/>
      </w:pPr>
    </w:p>
    <w:p>
      <w:pPr>
        <w:pStyle w:val="Heading1"/>
      </w:pPr>
      <w:r>
        <w:t>Recommended tooling</w:t>
      </w:r>
    </w:p>
    <w:tbl>
      <w:tblPr>
        <w:tblStyle w:val="TableGrid"/>
        <w:tblW w:type="auto" w:w="0"/>
        <w:jc w:val="center"/>
        <w:tblLayout w:type="fixed"/>
        <w:tblLook w:firstColumn="1" w:firstRow="1" w:lastColumn="0" w:lastRow="0" w:noHBand="0" w:noVBand="1" w:val="04A0"/>
      </w:tblPr>
      <w:tblGrid>
        <w:gridCol w:w="2088"/>
        <w:gridCol w:w="3311"/>
        <w:gridCol w:w="1584"/>
        <w:gridCol w:w="2376"/>
      </w:tblGrid>
      <w:tr>
        <w:trPr>
          <w:cantSplit w:val="true"/>
          <w:tblHeader w:val="true"/>
        </w:trPr>
        <w:tc>
          <w:tcPr>
            <w:tcW w:type="dxa" w:w="2088"/>
            <w:shd w:val="clear" w:color="auto" w:fill="DCE6F0"/>
          </w:tcPr>
          <w:p>
            <w:pPr>
              <w:spacing w:after="20" w:line="240" w:lineRule="auto"/>
            </w:pPr>
            <w:r/>
            <w:r>
              <w:rPr>
                <w:b/>
                <w:sz w:val="18"/>
              </w:rPr>
              <w:t>Option</w:t>
            </w:r>
          </w:p>
        </w:tc>
        <w:tc>
          <w:tcPr>
            <w:tcW w:type="dxa" w:w="3312"/>
            <w:shd w:val="clear" w:color="auto" w:fill="DCE6F0"/>
          </w:tcPr>
          <w:p>
            <w:pPr>
              <w:spacing w:after="20" w:line="240" w:lineRule="auto"/>
            </w:pPr>
            <w:r/>
            <w:r>
              <w:rPr>
                <w:b/>
                <w:sz w:val="18"/>
              </w:rPr>
              <w:t>What it is for</w:t>
            </w:r>
          </w:p>
        </w:tc>
        <w:tc>
          <w:tcPr>
            <w:tcW w:type="dxa" w:w="1584"/>
            <w:shd w:val="clear" w:color="auto" w:fill="DCE6F0"/>
          </w:tcPr>
          <w:p>
            <w:pPr>
              <w:spacing w:after="20" w:line="240" w:lineRule="auto"/>
            </w:pPr>
            <w:r/>
            <w:r>
              <w:rPr>
                <w:b/>
                <w:sz w:val="18"/>
              </w:rPr>
              <w:t>Effort / cost</w:t>
            </w:r>
          </w:p>
        </w:tc>
        <w:tc>
          <w:tcPr>
            <w:tcW w:type="dxa" w:w="2376"/>
            <w:shd w:val="clear" w:color="auto" w:fill="DCE6F0"/>
          </w:tcPr>
          <w:p>
            <w:pPr>
              <w:spacing w:after="20" w:line="240" w:lineRule="auto"/>
            </w:pPr>
            <w:r/>
            <w:r>
              <w:rPr>
                <w:b/>
                <w:sz w:val="18"/>
              </w:rPr>
              <w:t>Guardrail</w:t>
            </w:r>
          </w:p>
        </w:tc>
      </w:tr>
      <w:tr>
        <w:trPr>
          <w:cantSplit w:val="true"/>
        </w:trPr>
        <w:tc>
          <w:tcPr>
            <w:tcW w:type="dxa" w:w="2088"/>
          </w:tcPr>
          <w:p>
            <w:pPr>
              <w:spacing w:after="20" w:line="240" w:lineRule="auto"/>
            </w:pPr>
            <w:r/>
            <w:r>
              <w:rPr>
                <w:sz w:val="18"/>
              </w:rPr>
              <w:t>Vendor list (spreadsheet)</w:t>
            </w:r>
          </w:p>
        </w:tc>
        <w:tc>
          <w:tcPr>
            <w:tcW w:type="dxa" w:w="3312"/>
          </w:tcPr>
          <w:p>
            <w:pPr>
              <w:spacing w:after="20" w:line="240" w:lineRule="auto"/>
            </w:pPr>
            <w:r/>
            <w:r>
              <w:rPr>
                <w:sz w:val="18"/>
              </w:rPr>
              <w:t>One line per tool: vendor, owner, country, model provider, data location, export format, contract end</w:t>
            </w:r>
          </w:p>
        </w:tc>
        <w:tc>
          <w:tcPr>
            <w:tcW w:type="dxa" w:w="1584"/>
          </w:tcPr>
          <w:p>
            <w:pPr>
              <w:spacing w:after="20" w:line="240" w:lineRule="auto"/>
            </w:pPr>
            <w:r/>
            <w:r>
              <w:rPr>
                <w:sz w:val="18"/>
              </w:rPr>
              <w:t>Half a day; free</w:t>
            </w:r>
          </w:p>
        </w:tc>
        <w:tc>
          <w:tcPr>
            <w:tcW w:type="dxa" w:w="2376"/>
          </w:tcPr>
          <w:p>
            <w:pPr>
              <w:spacing w:after="20" w:line="240" w:lineRule="auto"/>
            </w:pPr>
            <w:r/>
            <w:r>
              <w:rPr>
                <w:sz w:val="18"/>
              </w:rPr>
              <w:t>The owner reviews it twice a year</w:t>
            </w:r>
          </w:p>
        </w:tc>
      </w:tr>
      <w:tr>
        <w:trPr>
          <w:cantSplit w:val="true"/>
        </w:trPr>
        <w:tc>
          <w:tcPr>
            <w:tcW w:type="dxa" w:w="2088"/>
          </w:tcPr>
          <w:p>
            <w:pPr>
              <w:spacing w:after="20" w:line="240" w:lineRule="auto"/>
            </w:pPr>
            <w:r/>
            <w:r>
              <w:rPr>
                <w:sz w:val="18"/>
              </w:rPr>
              <w:t>The vendor’s own trust documents</w:t>
            </w:r>
          </w:p>
        </w:tc>
        <w:tc>
          <w:tcPr>
            <w:tcW w:type="dxa" w:w="3312"/>
          </w:tcPr>
          <w:p>
            <w:pPr>
              <w:spacing w:after="20" w:line="240" w:lineRule="auto"/>
            </w:pPr>
            <w:r/>
            <w:r>
              <w:rPr>
                <w:sz w:val="18"/>
              </w:rPr>
              <w:t>Subprocessor lists, data-processing agreements, data-location statements</w:t>
            </w:r>
          </w:p>
        </w:tc>
        <w:tc>
          <w:tcPr>
            <w:tcW w:type="dxa" w:w="1584"/>
          </w:tcPr>
          <w:p>
            <w:pPr>
              <w:spacing w:after="20" w:line="240" w:lineRule="auto"/>
            </w:pPr>
            <w:r/>
            <w:r>
              <w:rPr>
                <w:sz w:val="18"/>
              </w:rPr>
              <w:t>A few hours; free</w:t>
            </w:r>
          </w:p>
        </w:tc>
        <w:tc>
          <w:tcPr>
            <w:tcW w:type="dxa" w:w="2376"/>
          </w:tcPr>
          <w:p>
            <w:pPr>
              <w:spacing w:after="20" w:line="240" w:lineRule="auto"/>
            </w:pPr>
            <w:r/>
            <w:r>
              <w:rPr>
                <w:sz w:val="18"/>
              </w:rPr>
              <w:t>These are vendor claims: get the answers in writing</w:t>
            </w:r>
          </w:p>
        </w:tc>
      </w:tr>
      <w:tr>
        <w:trPr>
          <w:cantSplit w:val="true"/>
        </w:trPr>
        <w:tc>
          <w:tcPr>
            <w:tcW w:type="dxa" w:w="2088"/>
          </w:tcPr>
          <w:p>
            <w:pPr>
              <w:spacing w:after="20" w:line="240" w:lineRule="auto"/>
            </w:pPr>
            <w:r/>
            <w:r>
              <w:rPr>
                <w:sz w:val="18"/>
              </w:rPr>
              <w:t>Export test</w:t>
            </w:r>
          </w:p>
        </w:tc>
        <w:tc>
          <w:tcPr>
            <w:tcW w:type="dxa" w:w="3312"/>
          </w:tcPr>
          <w:p>
            <w:pPr>
              <w:spacing w:after="20" w:line="240" w:lineRule="auto"/>
            </w:pPr>
            <w:r/>
            <w:r>
              <w:rPr>
                <w:sz w:val="18"/>
              </w:rPr>
              <w:t>Export the data a trial would use, and open it again in Excel</w:t>
            </w:r>
          </w:p>
        </w:tc>
        <w:tc>
          <w:tcPr>
            <w:tcW w:type="dxa" w:w="1584"/>
          </w:tcPr>
          <w:p>
            <w:pPr>
              <w:spacing w:after="20" w:line="240" w:lineRule="auto"/>
            </w:pPr>
            <w:r/>
            <w:r>
              <w:rPr>
                <w:sz w:val="18"/>
              </w:rPr>
              <w:t>Half a day</w:t>
            </w:r>
          </w:p>
        </w:tc>
        <w:tc>
          <w:tcPr>
            <w:tcW w:type="dxa" w:w="2376"/>
          </w:tcPr>
          <w:p>
            <w:pPr>
              <w:spacing w:after="20" w:line="240" w:lineRule="auto"/>
            </w:pPr>
            <w:r/>
            <w:r>
              <w:rPr>
                <w:sz w:val="18"/>
              </w:rPr>
              <w:t>Do it before signing, not after</w:t>
            </w:r>
          </w:p>
        </w:tc>
      </w:tr>
      <w:tr>
        <w:trPr>
          <w:cantSplit w:val="true"/>
        </w:trPr>
        <w:tc>
          <w:tcPr>
            <w:tcW w:type="dxa" w:w="2088"/>
          </w:tcPr>
          <w:p>
            <w:pPr>
              <w:spacing w:after="20" w:line="240" w:lineRule="auto"/>
            </w:pPr>
            <w:r/>
            <w:r>
              <w:rPr>
                <w:sz w:val="18"/>
              </w:rPr>
              <w:t>EU-hosted AI assistant</w:t>
            </w:r>
          </w:p>
        </w:tc>
        <w:tc>
          <w:tcPr>
            <w:tcW w:type="dxa" w:w="3312"/>
          </w:tcPr>
          <w:p>
            <w:pPr>
              <w:spacing w:after="20" w:line="240" w:lineRule="auto"/>
            </w:pPr>
            <w:r/>
            <w:r>
              <w:rPr>
                <w:sz w:val="18"/>
              </w:rPr>
              <w:t>EU-region hosting from a large provider, or an EU-based model provider</w:t>
            </w:r>
          </w:p>
        </w:tc>
        <w:tc>
          <w:tcPr>
            <w:tcW w:type="dxa" w:w="1584"/>
          </w:tcPr>
          <w:p>
            <w:pPr>
              <w:spacing w:after="20" w:line="240" w:lineRule="auto"/>
            </w:pPr>
            <w:r/>
            <w:r>
              <w:rPr>
                <w:sz w:val="18"/>
              </w:rPr>
              <w:t>Price unavailable: ask for a quote</w:t>
            </w:r>
          </w:p>
        </w:tc>
        <w:tc>
          <w:tcPr>
            <w:tcW w:type="dxa" w:w="2376"/>
          </w:tcPr>
          <w:p>
            <w:pPr>
              <w:spacing w:after="20" w:line="240" w:lineRule="auto"/>
            </w:pPr>
            <w:r/>
            <w:r>
              <w:rPr>
                <w:sz w:val="18"/>
              </w:rPr>
              <w:t>With US-owned providers, the CLOUD Act still applies</w:t>
            </w:r>
          </w:p>
        </w:tc>
      </w:tr>
    </w:tbl>
    <w:p>
      <w:pPr>
        <w:spacing w:after="40" w:line="192" w:lineRule="auto"/>
      </w:pPr>
    </w:p>
    <w:p>
      <w:pPr>
        <w:pStyle w:val="Heading1"/>
      </w:pPr>
      <w:r>
        <w:t>Responsible AI &amp; trust</w:t>
      </w:r>
    </w:p>
    <w:p>
      <w:pPr>
        <w:pStyle w:val="ListBullet"/>
      </w:pPr>
      <w:r>
        <w:rPr>
          <w:b/>
        </w:rPr>
        <w:t>Data ownership:</w:t>
      </w:r>
      <w:r>
        <w:t xml:space="preserve"> where data is stored is not the same as who controls it; the vendor’s home law travels with it. Have a data-processing agreement whenever personal data is involved.</w:t>
      </w:r>
    </w:p>
    <w:p>
      <w:pPr>
        <w:pStyle w:val="ListBullet"/>
      </w:pPr>
      <w:r>
        <w:rPr>
          <w:b/>
        </w:rPr>
        <w:t>Reliability:</w:t>
      </w:r>
      <w:r>
        <w:t xml:space="preserve"> a tool that can be switched off must never be the only way the workshop is planned. Keep the manual process able to run.</w:t>
      </w:r>
    </w:p>
    <w:p>
      <w:pPr>
        <w:pStyle w:val="ListBullet"/>
      </w:pPr>
      <w:r>
        <w:rPr>
          <w:b/>
        </w:rPr>
        <w:t>Human in the loop:</w:t>
      </w:r>
      <w:r>
        <w:t xml:space="preserve"> the tool advises, and a named planner decides (see the AI-safety chapter).</w:t>
      </w:r>
    </w:p>
    <w:p>
      <w:pPr>
        <w:pStyle w:val="ListBullet"/>
      </w:pPr>
      <w:r>
        <w:rPr>
          <w:b/>
        </w:rPr>
        <w:t>Your customers’ data:</w:t>
      </w:r>
      <w:r>
        <w:t xml:space="preserve"> if your machines collect data, tell customers what you collect and where it goes. The Data Act gives them the right to ask.</w:t>
      </w:r>
    </w:p>
    <w:p>
      <w:pPr>
        <w:pStyle w:val="ListBullet"/>
      </w:pPr>
      <w:r>
        <w:rPr>
          <w:b/>
        </w:rPr>
        <w:t>Workforce:</w:t>
      </w:r>
      <w:r>
        <w:t xml:space="preserve"> do not let a planner’s know-how disappear into a vendor’s tool. Write down the rules the tool replaces, so you can go back.</w:t>
      </w:r>
    </w:p>
    <w:p>
      <w:pPr>
        <w:pStyle w:val="Heading1"/>
      </w:pPr>
      <w:r>
        <w:t>First five steps for an owner</w:t>
      </w:r>
    </w:p>
    <w:p>
      <w:pPr>
        <w:pStyle w:val="ListNumber"/>
        <w:numPr>
          <w:ilvl w:val="0"/>
          <w:numId w:val="10"/>
        </w:numPr>
      </w:pPr>
      <w:r>
        <w:rPr>
          <w:b/>
        </w:rPr>
        <w:t>Make a vendor list this week</w:t>
      </w:r>
      <w:r>
        <w:t xml:space="preserve"> (owner + office manager): every tool that touches design, planning, customer data or your machines’ software.</w:t>
      </w:r>
    </w:p>
    <w:p>
      <w:pPr>
        <w:pStyle w:val="ListNumber"/>
        <w:numPr>
          <w:ilvl w:val="0"/>
          <w:numId w:val="10"/>
        </w:numPr>
      </w:pPr>
      <w:r>
        <w:rPr>
          <w:b/>
        </w:rPr>
        <w:t>Ask each vendor three questions in writing</w:t>
      </w:r>
      <w:r>
        <w:t xml:space="preserve"> (office manager): Where is our data stored and processed? Which other companies, including AI providers, touch it? Is our data used to train models?</w:t>
      </w:r>
    </w:p>
    <w:p>
      <w:pPr>
        <w:pStyle w:val="ListNumber"/>
        <w:numPr>
          <w:ilvl w:val="0"/>
          <w:numId w:val="10"/>
        </w:numPr>
      </w:pPr>
      <w:r>
        <w:rPr>
          <w:b/>
        </w:rPr>
        <w:t>Run one export test</w:t>
      </w:r>
      <w:r>
        <w:t xml:space="preserve"> on your most important system (planner): can you get your data out in a standard format?</w:t>
      </w:r>
    </w:p>
    <w:p>
      <w:pPr>
        <w:pStyle w:val="ListNumber"/>
        <w:numPr>
          <w:ilvl w:val="0"/>
          <w:numId w:val="10"/>
        </w:numPr>
      </w:pPr>
      <w:r>
        <w:rPr>
          <w:b/>
        </w:rPr>
        <w:t>Before any AI trial, score two candidates on dependence</w:t>
      </w:r>
      <w:r>
        <w:t xml:space="preserve"> as well as function and price, and prefer the option you can reverse (owner).</w:t>
      </w:r>
    </w:p>
    <w:p>
      <w:pPr>
        <w:pStyle w:val="ListNumber"/>
        <w:numPr>
          <w:ilvl w:val="0"/>
          <w:numId w:val="10"/>
        </w:numPr>
      </w:pPr>
      <w:r>
        <w:rPr>
          <w:b/>
        </w:rPr>
        <w:t>Put an exit clause in your next contract or renewal</w:t>
      </w:r>
      <w:r>
        <w:t xml:space="preserve"> (owner): data export in a standard format, a notice period, and switching without fees, as the Data Act allows.</w:t>
      </w:r>
    </w:p>
    <w:p>
      <w:pPr>
        <w:pStyle w:val="Heading1"/>
      </w:pPr>
      <w:r>
        <w:t>Sources</w:t>
      </w:r>
    </w:p>
    <w:tbl>
      <w:tblPr>
        <w:tblStyle w:val="TableGrid"/>
        <w:tblW w:type="auto" w:w="0"/>
        <w:jc w:val="center"/>
        <w:tblLayout w:type="fixed"/>
        <w:tblLook w:firstColumn="1" w:firstRow="1" w:lastColumn="0" w:lastRow="0" w:noHBand="0" w:noVBand="1" w:val="04A0"/>
      </w:tblPr>
      <w:tblGrid>
        <w:gridCol w:w="503"/>
        <w:gridCol w:w="3096"/>
        <w:gridCol w:w="1655"/>
        <w:gridCol w:w="2304"/>
        <w:gridCol w:w="1800"/>
      </w:tblGrid>
      <w:tr>
        <w:trPr>
          <w:cantSplit w:val="true"/>
          <w:tblHeader w:val="true"/>
        </w:trPr>
        <w:tc>
          <w:tcPr>
            <w:tcW w:type="dxa" w:w="504"/>
            <w:shd w:val="clear" w:color="auto" w:fill="DCE6F0"/>
          </w:tcPr>
          <w:p>
            <w:pPr>
              <w:spacing w:after="20" w:line="240" w:lineRule="auto"/>
            </w:pPr>
            <w:r/>
            <w:r>
              <w:rPr>
                <w:b/>
                <w:sz w:val="15"/>
              </w:rPr>
              <w:t>ID</w:t>
            </w:r>
          </w:p>
        </w:tc>
        <w:tc>
          <w:tcPr>
            <w:tcW w:type="dxa" w:w="3096"/>
            <w:shd w:val="clear" w:color="auto" w:fill="DCE6F0"/>
          </w:tcPr>
          <w:p>
            <w:pPr>
              <w:spacing w:after="20" w:line="240" w:lineRule="auto"/>
            </w:pPr>
            <w:r/>
            <w:r>
              <w:rPr>
                <w:b/>
                <w:sz w:val="15"/>
              </w:rPr>
              <w:t>Source</w:t>
            </w:r>
          </w:p>
        </w:tc>
        <w:tc>
          <w:tcPr>
            <w:tcW w:type="dxa" w:w="1656"/>
            <w:shd w:val="clear" w:color="auto" w:fill="DCE6F0"/>
          </w:tcPr>
          <w:p>
            <w:pPr>
              <w:spacing w:after="20" w:line="240" w:lineRule="auto"/>
            </w:pPr>
            <w:r/>
            <w:r>
              <w:rPr>
                <w:b/>
                <w:sz w:val="15"/>
              </w:rPr>
              <w:t>Supports</w:t>
            </w:r>
          </w:p>
        </w:tc>
        <w:tc>
          <w:tcPr>
            <w:tcW w:type="dxa" w:w="2304"/>
            <w:shd w:val="clear" w:color="auto" w:fill="DCE6F0"/>
          </w:tcPr>
          <w:p>
            <w:pPr>
              <w:spacing w:after="20" w:line="240" w:lineRule="auto"/>
            </w:pPr>
            <w:r/>
            <w:r>
              <w:rPr>
                <w:b/>
                <w:sz w:val="15"/>
              </w:rPr>
              <w:t>Who says it, and why credible</w:t>
            </w:r>
          </w:p>
        </w:tc>
        <w:tc>
          <w:tcPr>
            <w:tcW w:type="dxa" w:w="1800"/>
            <w:shd w:val="clear" w:color="auto" w:fill="DCE6F0"/>
          </w:tcPr>
          <w:p>
            <w:pPr>
              <w:spacing w:after="20" w:line="240" w:lineRule="auto"/>
            </w:pPr>
            <w:r/>
            <w:r>
              <w:rPr>
                <w:b/>
                <w:sz w:val="15"/>
              </w:rPr>
              <w:t>Limitation</w:t>
            </w:r>
          </w:p>
        </w:tc>
      </w:tr>
      <w:tr>
        <w:trPr>
          <w:cantSplit w:val="true"/>
        </w:trPr>
        <w:tc>
          <w:tcPr>
            <w:tcW w:type="dxa" w:w="504"/>
          </w:tcPr>
          <w:p>
            <w:pPr>
              <w:spacing w:after="20" w:line="240" w:lineRule="auto"/>
            </w:pPr>
            <w:r/>
            <w:r>
              <w:rPr>
                <w:sz w:val="15"/>
              </w:rPr>
              <w:t>S1</w:t>
            </w:r>
          </w:p>
        </w:tc>
        <w:tc>
          <w:tcPr>
            <w:tcW w:type="dxa" w:w="3096"/>
          </w:tcPr>
          <w:p>
            <w:pPr>
              <w:spacing w:after="20" w:line="240" w:lineRule="auto"/>
            </w:pPr>
            <w:r/>
            <w:r>
              <w:rPr>
                <w:sz w:val="15"/>
              </w:rPr>
              <w:t xml:space="preserve">Draghi, M. (2024). </w:t>
            </w:r>
            <w:hyperlink r:id="rId9">
              <w:r>
                <w:rPr>
                  <w:color w:val="1F5C99"/>
                  <w:u w:val="single"/>
                  <w:sz w:val="15"/>
                </w:rPr>
                <w:t xml:space="preserve">The future of European competitiveness, Part A</w:t>
              </w:r>
            </w:hyperlink>
            <w:r>
              <w:rPr>
                <w:sz w:val="15"/>
              </w:rPr>
              <w:t>, p. 24</w:t>
            </w:r>
          </w:p>
        </w:tc>
        <w:tc>
          <w:tcPr>
            <w:tcW w:type="dxa" w:w="1656"/>
          </w:tcPr>
          <w:p>
            <w:pPr>
              <w:spacing w:after="20" w:line="240" w:lineRule="auto"/>
            </w:pPr>
            <w:r/>
            <w:r>
              <w:rPr>
                <w:sz w:val="15"/>
              </w:rPr>
              <w:t>Models and cloud from the US</w:t>
            </w:r>
          </w:p>
        </w:tc>
        <w:tc>
          <w:tcPr>
            <w:tcW w:type="dxa" w:w="2304"/>
          </w:tcPr>
          <w:p>
            <w:pPr>
              <w:spacing w:after="20" w:line="240" w:lineRule="auto"/>
            </w:pPr>
            <w:r/>
            <w:r>
              <w:rPr>
                <w:sz w:val="15"/>
              </w:rPr>
              <w:t>Former ECB president, commissioned by the European Commission</w:t>
            </w:r>
          </w:p>
        </w:tc>
        <w:tc>
          <w:tcPr>
            <w:tcW w:type="dxa" w:w="1800"/>
          </w:tcPr>
          <w:p>
            <w:pPr>
              <w:spacing w:after="20" w:line="240" w:lineRule="auto"/>
            </w:pPr>
            <w:r/>
            <w:r>
              <w:rPr>
                <w:sz w:val="15"/>
              </w:rPr>
              <w:t>Policy report; 2024 figures</w:t>
            </w:r>
          </w:p>
        </w:tc>
      </w:tr>
      <w:tr>
        <w:trPr>
          <w:cantSplit w:val="true"/>
        </w:trPr>
        <w:tc>
          <w:tcPr>
            <w:tcW w:type="dxa" w:w="504"/>
          </w:tcPr>
          <w:p>
            <w:pPr>
              <w:spacing w:after="20" w:line="240" w:lineRule="auto"/>
            </w:pPr>
            <w:r/>
            <w:r>
              <w:rPr>
                <w:sz w:val="15"/>
              </w:rPr>
              <w:t>S2</w:t>
            </w:r>
          </w:p>
        </w:tc>
        <w:tc>
          <w:tcPr>
            <w:tcW w:type="dxa" w:w="3096"/>
          </w:tcPr>
          <w:p>
            <w:pPr>
              <w:spacing w:after="20" w:line="240" w:lineRule="auto"/>
            </w:pPr>
            <w:r/>
            <w:r>
              <w:rPr>
                <w:sz w:val="15"/>
              </w:rPr>
              <w:t xml:space="preserve">Synergy Research Group (24 Jul 2025). </w:t>
            </w:r>
            <w:hyperlink r:id="rId10">
              <w:r>
                <w:rPr>
                  <w:color w:val="1F5C99"/>
                  <w:u w:val="single"/>
                  <w:sz w:val="15"/>
                </w:rPr>
                <w:t xml:space="preserve">European cloud providers’ market share</w:t>
              </w:r>
            </w:hyperlink>
          </w:p>
        </w:tc>
        <w:tc>
          <w:tcPr>
            <w:tcW w:type="dxa" w:w="1656"/>
          </w:tcPr>
          <w:p>
            <w:pPr>
              <w:spacing w:after="20" w:line="240" w:lineRule="auto"/>
            </w:pPr>
            <w:r/>
            <w:r>
              <w:rPr>
                <w:sz w:val="15"/>
              </w:rPr>
              <w:t>Cloud shares</w:t>
            </w:r>
          </w:p>
        </w:tc>
        <w:tc>
          <w:tcPr>
            <w:tcW w:type="dxa" w:w="2304"/>
          </w:tcPr>
          <w:p>
            <w:pPr>
              <w:spacing w:after="20" w:line="240" w:lineRule="auto"/>
            </w:pPr>
            <w:r/>
            <w:r>
              <w:rPr>
                <w:sz w:val="15"/>
              </w:rPr>
              <w:t>Specialist firm tracking cloud revenues</w:t>
            </w:r>
          </w:p>
        </w:tc>
        <w:tc>
          <w:tcPr>
            <w:tcW w:type="dxa" w:w="1800"/>
          </w:tcPr>
          <w:p>
            <w:pPr>
              <w:spacing w:after="20" w:line="240" w:lineRule="auto"/>
            </w:pPr>
            <w:r/>
            <w:r>
              <w:rPr>
                <w:sz w:val="15"/>
              </w:rPr>
              <w:t>Estimates; own method</w:t>
            </w:r>
          </w:p>
        </w:tc>
      </w:tr>
      <w:tr>
        <w:trPr>
          <w:cantSplit w:val="true"/>
        </w:trPr>
        <w:tc>
          <w:tcPr>
            <w:tcW w:type="dxa" w:w="504"/>
          </w:tcPr>
          <w:p>
            <w:pPr>
              <w:spacing w:after="20" w:line="240" w:lineRule="auto"/>
            </w:pPr>
            <w:r/>
            <w:r>
              <w:rPr>
                <w:sz w:val="15"/>
              </w:rPr>
              <w:t>S3</w:t>
            </w:r>
          </w:p>
        </w:tc>
        <w:tc>
          <w:tcPr>
            <w:tcW w:type="dxa" w:w="3096"/>
          </w:tcPr>
          <w:p>
            <w:pPr>
              <w:spacing w:after="20" w:line="240" w:lineRule="auto"/>
            </w:pPr>
            <w:r/>
            <w:r>
              <w:rPr>
                <w:sz w:val="15"/>
              </w:rPr>
              <w:t xml:space="preserve">Apax Partners (26 Feb 2019). </w:t>
            </w:r>
            <w:hyperlink r:id="rId11">
              <w:r>
                <w:rPr>
                  <w:color w:val="1F5C99"/>
                  <w:u w:val="single"/>
                  <w:sz w:val="15"/>
                </w:rPr>
                <w:t xml:space="preserve">KKR to acquire Exact Software</w:t>
              </w:r>
            </w:hyperlink>
          </w:p>
        </w:tc>
        <w:tc>
          <w:tcPr>
            <w:tcW w:type="dxa" w:w="1656"/>
          </w:tcPr>
          <w:p>
            <w:pPr>
              <w:spacing w:after="20" w:line="240" w:lineRule="auto"/>
            </w:pPr>
            <w:r/>
            <w:r>
              <w:rPr>
                <w:sz w:val="15"/>
              </w:rPr>
              <w:t>Owner of Exact</w:t>
            </w:r>
          </w:p>
        </w:tc>
        <w:tc>
          <w:tcPr>
            <w:tcW w:type="dxa" w:w="2304"/>
          </w:tcPr>
          <w:p>
            <w:pPr>
              <w:spacing w:after="20" w:line="240" w:lineRule="auto"/>
            </w:pPr>
            <w:r/>
            <w:r>
              <w:rPr>
                <w:sz w:val="15"/>
              </w:rPr>
              <w:t>The seller’s own announcement</w:t>
            </w:r>
          </w:p>
        </w:tc>
        <w:tc>
          <w:tcPr>
            <w:tcW w:type="dxa" w:w="1800"/>
          </w:tcPr>
          <w:p>
            <w:pPr>
              <w:spacing w:after="20" w:line="240" w:lineRule="auto"/>
            </w:pPr>
            <w:r/>
            <w:r>
              <w:rPr>
                <w:sz w:val="15"/>
              </w:rPr>
              <w:t>Ownership can change</w:t>
            </w:r>
          </w:p>
        </w:tc>
      </w:tr>
      <w:tr>
        <w:trPr>
          <w:cantSplit w:val="true"/>
        </w:trPr>
        <w:tc>
          <w:tcPr>
            <w:tcW w:type="dxa" w:w="504"/>
          </w:tcPr>
          <w:p>
            <w:pPr>
              <w:spacing w:after="20" w:line="240" w:lineRule="auto"/>
            </w:pPr>
            <w:r/>
            <w:r>
              <w:rPr>
                <w:sz w:val="15"/>
              </w:rPr>
              <w:t>S4</w:t>
            </w:r>
          </w:p>
        </w:tc>
        <w:tc>
          <w:tcPr>
            <w:tcW w:type="dxa" w:w="3096"/>
          </w:tcPr>
          <w:p>
            <w:pPr>
              <w:spacing w:after="20" w:line="240" w:lineRule="auto"/>
            </w:pPr>
            <w:r/>
            <w:r>
              <w:rPr>
                <w:sz w:val="15"/>
              </w:rPr>
              <w:t xml:space="preserve">ECI Software Solutions. </w:t>
            </w:r>
            <w:hyperlink r:id="rId12">
              <w:r>
                <w:rPr>
                  <w:color w:val="1F5C99"/>
                  <w:u w:val="single"/>
                  <w:sz w:val="15"/>
                </w:rPr>
                <w:t xml:space="preserve">Ridder iQ (NL)</w:t>
              </w:r>
            </w:hyperlink>
          </w:p>
        </w:tc>
        <w:tc>
          <w:tcPr>
            <w:tcW w:type="dxa" w:w="1656"/>
          </w:tcPr>
          <w:p>
            <w:pPr>
              <w:spacing w:after="20" w:line="240" w:lineRule="auto"/>
            </w:pPr>
            <w:r/>
            <w:r>
              <w:rPr>
                <w:sz w:val="15"/>
              </w:rPr>
              <w:t>Ridder iQ sold by ECI</w:t>
            </w:r>
          </w:p>
        </w:tc>
        <w:tc>
          <w:tcPr>
            <w:tcW w:type="dxa" w:w="2304"/>
          </w:tcPr>
          <w:p>
            <w:pPr>
              <w:spacing w:after="20" w:line="240" w:lineRule="auto"/>
            </w:pPr>
            <w:r/>
            <w:r>
              <w:rPr>
                <w:sz w:val="15"/>
              </w:rPr>
              <w:t>The vendor’s own page</w:t>
            </w:r>
          </w:p>
        </w:tc>
        <w:tc>
          <w:tcPr>
            <w:tcW w:type="dxa" w:w="1800"/>
          </w:tcPr>
          <w:p>
            <w:pPr>
              <w:spacing w:after="20" w:line="240" w:lineRule="auto"/>
            </w:pPr>
            <w:r/>
            <w:r>
              <w:rPr>
                <w:sz w:val="15"/>
              </w:rPr>
              <w:t>Not an ownership record</w:t>
            </w:r>
          </w:p>
        </w:tc>
      </w:tr>
      <w:tr>
        <w:trPr>
          <w:cantSplit w:val="true"/>
        </w:trPr>
        <w:tc>
          <w:tcPr>
            <w:tcW w:type="dxa" w:w="504"/>
          </w:tcPr>
          <w:p>
            <w:pPr>
              <w:spacing w:after="20" w:line="240" w:lineRule="auto"/>
            </w:pPr>
            <w:r/>
            <w:r>
              <w:rPr>
                <w:sz w:val="15"/>
              </w:rPr>
              <w:t>S5</w:t>
            </w:r>
          </w:p>
        </w:tc>
        <w:tc>
          <w:tcPr>
            <w:tcW w:type="dxa" w:w="3096"/>
          </w:tcPr>
          <w:p>
            <w:pPr>
              <w:spacing w:after="20" w:line="240" w:lineRule="auto"/>
            </w:pPr>
            <w:r/>
            <w:r>
              <w:rPr>
                <w:sz w:val="15"/>
              </w:rPr>
              <w:t xml:space="preserve">Leonard Green &amp; Partners (19 Nov 2020). </w:t>
            </w:r>
            <w:hyperlink r:id="rId13">
              <w:r>
                <w:rPr>
                  <w:color w:val="1F5C99"/>
                  <w:u w:val="single"/>
                  <w:sz w:val="15"/>
                </w:rPr>
                <w:t xml:space="preserve">ECI to be acquired by Leonard Green</w:t>
              </w:r>
            </w:hyperlink>
          </w:p>
        </w:tc>
        <w:tc>
          <w:tcPr>
            <w:tcW w:type="dxa" w:w="1656"/>
          </w:tcPr>
          <w:p>
            <w:pPr>
              <w:spacing w:after="20" w:line="240" w:lineRule="auto"/>
            </w:pPr>
            <w:r/>
            <w:r>
              <w:rPr>
                <w:sz w:val="15"/>
              </w:rPr>
              <w:t>ECI location and owner</w:t>
            </w:r>
          </w:p>
        </w:tc>
        <w:tc>
          <w:tcPr>
            <w:tcW w:type="dxa" w:w="2304"/>
          </w:tcPr>
          <w:p>
            <w:pPr>
              <w:spacing w:after="20" w:line="240" w:lineRule="auto"/>
            </w:pPr>
            <w:r/>
            <w:r>
              <w:rPr>
                <w:sz w:val="15"/>
              </w:rPr>
              <w:t>The buyer’s own announcement</w:t>
            </w:r>
          </w:p>
        </w:tc>
        <w:tc>
          <w:tcPr>
            <w:tcW w:type="dxa" w:w="1800"/>
          </w:tcPr>
          <w:p>
            <w:pPr>
              <w:spacing w:after="20" w:line="240" w:lineRule="auto"/>
            </w:pPr>
            <w:r/>
            <w:r>
              <w:rPr>
                <w:sz w:val="15"/>
              </w:rPr>
              <w:t>From 2020</w:t>
            </w:r>
          </w:p>
        </w:tc>
      </w:tr>
      <w:tr>
        <w:trPr>
          <w:cantSplit w:val="true"/>
        </w:trPr>
        <w:tc>
          <w:tcPr>
            <w:tcW w:type="dxa" w:w="504"/>
          </w:tcPr>
          <w:p>
            <w:pPr>
              <w:spacing w:after="20" w:line="240" w:lineRule="auto"/>
            </w:pPr>
            <w:r/>
            <w:r>
              <w:rPr>
                <w:sz w:val="15"/>
              </w:rPr>
              <w:t>S6</w:t>
            </w:r>
          </w:p>
        </w:tc>
        <w:tc>
          <w:tcPr>
            <w:tcW w:type="dxa" w:w="3096"/>
          </w:tcPr>
          <w:p>
            <w:pPr>
              <w:spacing w:after="20" w:line="240" w:lineRule="auto"/>
            </w:pPr>
            <w:r/>
            <w:r>
              <w:rPr>
                <w:sz w:val="15"/>
              </w:rPr>
              <w:t xml:space="preserve">The Register (25 Jul 2025). </w:t>
            </w:r>
            <w:hyperlink r:id="rId14">
              <w:r>
                <w:rPr>
                  <w:color w:val="1F5C99"/>
                  <w:u w:val="single"/>
                  <w:sz w:val="15"/>
                </w:rPr>
                <w:t xml:space="preserve">Microsoft exec admits it “cannot guarantee” data sovereignty</w:t>
              </w:r>
            </w:hyperlink>
          </w:p>
        </w:tc>
        <w:tc>
          <w:tcPr>
            <w:tcW w:type="dxa" w:w="1656"/>
          </w:tcPr>
          <w:p>
            <w:pPr>
              <w:spacing w:after="20" w:line="240" w:lineRule="auto"/>
            </w:pPr>
            <w:r/>
            <w:r>
              <w:rPr>
                <w:sz w:val="15"/>
              </w:rPr>
              <w:t>CLOUD Act; Microsoft testimony</w:t>
            </w:r>
          </w:p>
        </w:tc>
        <w:tc>
          <w:tcPr>
            <w:tcW w:type="dxa" w:w="2304"/>
          </w:tcPr>
          <w:p>
            <w:pPr>
              <w:spacing w:after="20" w:line="240" w:lineRule="auto"/>
            </w:pPr>
            <w:r/>
            <w:r>
              <w:rPr>
                <w:sz w:val="15"/>
              </w:rPr>
              <w:t>Tech news outlet reporting sworn Senate testimony</w:t>
            </w:r>
          </w:p>
        </w:tc>
        <w:tc>
          <w:tcPr>
            <w:tcW w:type="dxa" w:w="1800"/>
          </w:tcPr>
          <w:p>
            <w:pPr>
              <w:spacing w:after="20" w:line="240" w:lineRule="auto"/>
            </w:pPr>
            <w:r/>
            <w:r>
              <w:rPr>
                <w:sz w:val="15"/>
              </w:rPr>
              <w:t>Secondary report</w:t>
            </w:r>
          </w:p>
        </w:tc>
      </w:tr>
      <w:tr>
        <w:trPr>
          <w:cantSplit w:val="true"/>
        </w:trPr>
        <w:tc>
          <w:tcPr>
            <w:tcW w:type="dxa" w:w="504"/>
          </w:tcPr>
          <w:p>
            <w:pPr>
              <w:spacing w:after="20" w:line="240" w:lineRule="auto"/>
            </w:pPr>
            <w:r/>
            <w:r>
              <w:rPr>
                <w:sz w:val="15"/>
              </w:rPr>
              <w:t>S7</w:t>
            </w:r>
          </w:p>
        </w:tc>
        <w:tc>
          <w:tcPr>
            <w:tcW w:type="dxa" w:w="3096"/>
          </w:tcPr>
          <w:p>
            <w:pPr>
              <w:spacing w:after="20" w:line="240" w:lineRule="auto"/>
            </w:pPr>
            <w:r/>
            <w:r>
              <w:rPr>
                <w:sz w:val="15"/>
              </w:rPr>
              <w:t xml:space="preserve">Anthropic (Jun 2026). </w:t>
            </w:r>
            <w:hyperlink r:id="rId15">
              <w:r>
                <w:rPr>
                  <w:color w:val="1F5C99"/>
                  <w:u w:val="single"/>
                  <w:sz w:val="15"/>
                </w:rPr>
                <w:t xml:space="preserve">Statement on Fable 5 and Mythos 5 access</w:t>
              </w:r>
            </w:hyperlink>
          </w:p>
        </w:tc>
        <w:tc>
          <w:tcPr>
            <w:tcW w:type="dxa" w:w="1656"/>
          </w:tcPr>
          <w:p>
            <w:pPr>
              <w:spacing w:after="20" w:line="240" w:lineRule="auto"/>
            </w:pPr>
            <w:r/>
            <w:r>
              <w:rPr>
                <w:sz w:val="15"/>
              </w:rPr>
              <w:t>Suspension, 12 Jun 2026</w:t>
            </w:r>
          </w:p>
        </w:tc>
        <w:tc>
          <w:tcPr>
            <w:tcW w:type="dxa" w:w="2304"/>
          </w:tcPr>
          <w:p>
            <w:pPr>
              <w:spacing w:after="20" w:line="240" w:lineRule="auto"/>
            </w:pPr>
            <w:r/>
            <w:r>
              <w:rPr>
                <w:sz w:val="15"/>
              </w:rPr>
              <w:t>The affected vendor</w:t>
            </w:r>
          </w:p>
        </w:tc>
        <w:tc>
          <w:tcPr>
            <w:tcW w:type="dxa" w:w="1800"/>
          </w:tcPr>
          <w:p>
            <w:pPr>
              <w:spacing w:after="20" w:line="240" w:lineRule="auto"/>
            </w:pPr>
            <w:r/>
            <w:r>
              <w:rPr>
                <w:sz w:val="15"/>
              </w:rPr>
              <w:t>Interested party</w:t>
            </w:r>
          </w:p>
        </w:tc>
      </w:tr>
      <w:tr>
        <w:trPr>
          <w:cantSplit w:val="true"/>
        </w:trPr>
        <w:tc>
          <w:tcPr>
            <w:tcW w:type="dxa" w:w="504"/>
          </w:tcPr>
          <w:p>
            <w:pPr>
              <w:spacing w:after="20" w:line="240" w:lineRule="auto"/>
            </w:pPr>
            <w:r/>
            <w:r>
              <w:rPr>
                <w:sz w:val="15"/>
              </w:rPr>
              <w:t>S8</w:t>
            </w:r>
          </w:p>
        </w:tc>
        <w:tc>
          <w:tcPr>
            <w:tcW w:type="dxa" w:w="3096"/>
          </w:tcPr>
          <w:p>
            <w:pPr>
              <w:spacing w:after="20" w:line="240" w:lineRule="auto"/>
            </w:pPr>
            <w:r/>
            <w:r>
              <w:rPr>
                <w:sz w:val="15"/>
              </w:rPr>
              <w:t xml:space="preserve">Al Jazeera (1 Jul 2026). </w:t>
            </w:r>
            <w:hyperlink r:id="rId16">
              <w:r>
                <w:rPr>
                  <w:color w:val="1F5C99"/>
                  <w:u w:val="single"/>
                  <w:sz w:val="15"/>
                </w:rPr>
                <w:t xml:space="preserve">US lifts restrictions on Anthropic’s AI models</w:t>
              </w:r>
            </w:hyperlink>
          </w:p>
        </w:tc>
        <w:tc>
          <w:tcPr>
            <w:tcW w:type="dxa" w:w="1656"/>
          </w:tcPr>
          <w:p>
            <w:pPr>
              <w:spacing w:after="20" w:line="240" w:lineRule="auto"/>
            </w:pPr>
            <w:r/>
            <w:r>
              <w:rPr>
                <w:sz w:val="15"/>
              </w:rPr>
              <w:t>Restriction lifted</w:t>
            </w:r>
          </w:p>
        </w:tc>
        <w:tc>
          <w:tcPr>
            <w:tcW w:type="dxa" w:w="2304"/>
          </w:tcPr>
          <w:p>
            <w:pPr>
              <w:spacing w:after="20" w:line="240" w:lineRule="auto"/>
            </w:pPr>
            <w:r/>
            <w:r>
              <w:rPr>
                <w:sz w:val="15"/>
              </w:rPr>
              <w:t>International news outlet, independent of the vendor</w:t>
            </w:r>
          </w:p>
        </w:tc>
        <w:tc>
          <w:tcPr>
            <w:tcW w:type="dxa" w:w="1800"/>
          </w:tcPr>
          <w:p>
            <w:pPr>
              <w:spacing w:after="20" w:line="240" w:lineRule="auto"/>
            </w:pPr>
            <w:r/>
            <w:r>
              <w:rPr>
                <w:sz w:val="15"/>
              </w:rPr>
              <w:t>Partly the company’s account</w:t>
            </w:r>
          </w:p>
        </w:tc>
      </w:tr>
      <w:tr>
        <w:trPr>
          <w:cantSplit w:val="true"/>
        </w:trPr>
        <w:tc>
          <w:tcPr>
            <w:tcW w:type="dxa" w:w="504"/>
          </w:tcPr>
          <w:p>
            <w:pPr>
              <w:spacing w:after="20" w:line="240" w:lineRule="auto"/>
            </w:pPr>
            <w:r/>
            <w:r>
              <w:rPr>
                <w:sz w:val="15"/>
              </w:rPr>
              <w:t>S9</w:t>
            </w:r>
          </w:p>
        </w:tc>
        <w:tc>
          <w:tcPr>
            <w:tcW w:type="dxa" w:w="3096"/>
          </w:tcPr>
          <w:p>
            <w:pPr>
              <w:spacing w:after="20" w:line="240" w:lineRule="auto"/>
            </w:pPr>
            <w:r/>
            <w:r>
              <w:rPr>
                <w:sz w:val="15"/>
              </w:rPr>
              <w:t xml:space="preserve">Axios (17 Jul 2024). </w:t>
            </w:r>
            <w:hyperlink r:id="rId17">
              <w:r>
                <w:rPr>
                  <w:color w:val="1F5C99"/>
                  <w:u w:val="single"/>
                  <w:sz w:val="15"/>
                </w:rPr>
                <w:t xml:space="preserve">Meta won’t offer future multimodal AI models in EU</w:t>
              </w:r>
            </w:hyperlink>
          </w:p>
        </w:tc>
        <w:tc>
          <w:tcPr>
            <w:tcW w:type="dxa" w:w="1656"/>
          </w:tcPr>
          <w:p>
            <w:pPr>
              <w:spacing w:after="20" w:line="240" w:lineRule="auto"/>
            </w:pPr>
            <w:r/>
            <w:r>
              <w:rPr>
                <w:sz w:val="15"/>
              </w:rPr>
              <w:t>Features withheld from the EU</w:t>
            </w:r>
          </w:p>
        </w:tc>
        <w:tc>
          <w:tcPr>
            <w:tcW w:type="dxa" w:w="2304"/>
          </w:tcPr>
          <w:p>
            <w:pPr>
              <w:spacing w:after="20" w:line="240" w:lineRule="auto"/>
            </w:pPr>
            <w:r/>
            <w:r>
              <w:rPr>
                <w:sz w:val="15"/>
              </w:rPr>
              <w:t>News outlet quoting Meta’s statement</w:t>
            </w:r>
          </w:p>
        </w:tc>
        <w:tc>
          <w:tcPr>
            <w:tcW w:type="dxa" w:w="1800"/>
          </w:tcPr>
          <w:p>
            <w:pPr>
              <w:spacing w:after="20" w:line="240" w:lineRule="auto"/>
            </w:pPr>
            <w:r/>
            <w:r>
              <w:rPr>
                <w:sz w:val="15"/>
              </w:rPr>
              <w:t>Plans can change</w:t>
            </w:r>
          </w:p>
        </w:tc>
      </w:tr>
      <w:tr>
        <w:trPr>
          <w:cantSplit w:val="true"/>
        </w:trPr>
        <w:tc>
          <w:tcPr>
            <w:tcW w:type="dxa" w:w="504"/>
          </w:tcPr>
          <w:p>
            <w:pPr>
              <w:spacing w:after="20" w:line="240" w:lineRule="auto"/>
            </w:pPr>
            <w:r/>
            <w:r>
              <w:rPr>
                <w:sz w:val="15"/>
              </w:rPr>
              <w:t>S10</w:t>
            </w:r>
          </w:p>
        </w:tc>
        <w:tc>
          <w:tcPr>
            <w:tcW w:type="dxa" w:w="3096"/>
          </w:tcPr>
          <w:p>
            <w:pPr>
              <w:spacing w:after="20" w:line="240" w:lineRule="auto"/>
            </w:pPr>
            <w:r/>
            <w:r>
              <w:rPr>
                <w:sz w:val="15"/>
              </w:rPr>
              <w:t xml:space="preserve">NOS (31 Jan 2025). </w:t>
            </w:r>
            <w:hyperlink r:id="rId18">
              <w:r>
                <w:rPr>
                  <w:color w:val="1F5C99"/>
                  <w:u w:val="single"/>
                  <w:sz w:val="15"/>
                </w:rPr>
                <w:t xml:space="preserve">AP waarschuwt voor Chinese chatbot DeepSeek</w:t>
              </w:r>
            </w:hyperlink>
          </w:p>
        </w:tc>
        <w:tc>
          <w:tcPr>
            <w:tcW w:type="dxa" w:w="1656"/>
          </w:tcPr>
          <w:p>
            <w:pPr>
              <w:spacing w:after="20" w:line="240" w:lineRule="auto"/>
            </w:pPr>
            <w:r/>
            <w:r>
              <w:rPr>
                <w:sz w:val="15"/>
              </w:rPr>
              <w:t>AP warning; data in China</w:t>
            </w:r>
          </w:p>
        </w:tc>
        <w:tc>
          <w:tcPr>
            <w:tcW w:type="dxa" w:w="2304"/>
          </w:tcPr>
          <w:p>
            <w:pPr>
              <w:spacing w:after="20" w:line="240" w:lineRule="auto"/>
            </w:pPr>
            <w:r/>
            <w:r>
              <w:rPr>
                <w:sz w:val="15"/>
              </w:rPr>
              <w:t>Dutch public broadcaster reporting the regulator</w:t>
            </w:r>
          </w:p>
        </w:tc>
        <w:tc>
          <w:tcPr>
            <w:tcW w:type="dxa" w:w="1800"/>
          </w:tcPr>
          <w:p>
            <w:pPr>
              <w:spacing w:after="20" w:line="240" w:lineRule="auto"/>
            </w:pPr>
            <w:r/>
            <w:r>
              <w:rPr>
                <w:sz w:val="15"/>
              </w:rPr>
              <w:t>Secondary; in Dutch</w:t>
            </w:r>
          </w:p>
        </w:tc>
      </w:tr>
      <w:tr>
        <w:trPr>
          <w:cantSplit w:val="true"/>
        </w:trPr>
        <w:tc>
          <w:tcPr>
            <w:tcW w:type="dxa" w:w="504"/>
          </w:tcPr>
          <w:p>
            <w:pPr>
              <w:spacing w:after="20" w:line="240" w:lineRule="auto"/>
            </w:pPr>
            <w:r/>
            <w:r>
              <w:rPr>
                <w:sz w:val="15"/>
              </w:rPr>
              <w:t>S11</w:t>
            </w:r>
          </w:p>
        </w:tc>
        <w:tc>
          <w:tcPr>
            <w:tcW w:type="dxa" w:w="3096"/>
          </w:tcPr>
          <w:p>
            <w:pPr>
              <w:spacing w:after="20" w:line="240" w:lineRule="auto"/>
            </w:pPr>
            <w:r/>
            <w:r>
              <w:rPr>
                <w:sz w:val="15"/>
              </w:rPr>
              <w:t xml:space="preserve">European Commission (updated 15 Dec 2025). </w:t>
            </w:r>
            <w:hyperlink r:id="rId19">
              <w:r>
                <w:rPr>
                  <w:color w:val="1F5C99"/>
                  <w:u w:val="single"/>
                  <w:sz w:val="15"/>
                </w:rPr>
                <w:t xml:space="preserve">Data Act explained</w:t>
              </w:r>
            </w:hyperlink>
          </w:p>
        </w:tc>
        <w:tc>
          <w:tcPr>
            <w:tcW w:type="dxa" w:w="1656"/>
          </w:tcPr>
          <w:p>
            <w:pPr>
              <w:spacing w:after="20" w:line="240" w:lineRule="auto"/>
            </w:pPr>
            <w:r/>
            <w:r>
              <w:rPr>
                <w:sz w:val="15"/>
              </w:rPr>
              <w:t>Switching; connected products; SME exemptions</w:t>
            </w:r>
          </w:p>
        </w:tc>
        <w:tc>
          <w:tcPr>
            <w:tcW w:type="dxa" w:w="2304"/>
          </w:tcPr>
          <w:p>
            <w:pPr>
              <w:spacing w:after="20" w:line="240" w:lineRule="auto"/>
            </w:pPr>
            <w:r/>
            <w:r>
              <w:rPr>
                <w:sz w:val="15"/>
              </w:rPr>
              <w:t>The EU executive, explaining its own law</w:t>
            </w:r>
          </w:p>
        </w:tc>
        <w:tc>
          <w:tcPr>
            <w:tcW w:type="dxa" w:w="1800"/>
          </w:tcPr>
          <w:p>
            <w:pPr>
              <w:spacing w:after="20" w:line="240" w:lineRule="auto"/>
            </w:pPr>
            <w:r/>
            <w:r>
              <w:rPr>
                <w:sz w:val="15"/>
              </w:rPr>
              <w:t>An explainer, not the legal text</w:t>
            </w:r>
          </w:p>
        </w:tc>
      </w:tr>
      <w:tr>
        <w:trPr>
          <w:cantSplit w:val="true"/>
        </w:trPr>
        <w:tc>
          <w:tcPr>
            <w:tcW w:type="dxa" w:w="504"/>
          </w:tcPr>
          <w:p>
            <w:pPr>
              <w:spacing w:after="20" w:line="240" w:lineRule="auto"/>
            </w:pPr>
            <w:r/>
            <w:r>
              <w:rPr>
                <w:sz w:val="15"/>
              </w:rPr>
              <w:t>S12</w:t>
            </w:r>
          </w:p>
        </w:tc>
        <w:tc>
          <w:tcPr>
            <w:tcW w:type="dxa" w:w="3096"/>
          </w:tcPr>
          <w:p>
            <w:pPr>
              <w:spacing w:after="20" w:line="240" w:lineRule="auto"/>
            </w:pPr>
            <w:r/>
            <w:r>
              <w:rPr>
                <w:sz w:val="15"/>
              </w:rPr>
              <w:t xml:space="preserve">White &amp; Case (Jul 2026). </w:t>
            </w:r>
            <w:hyperlink r:id="rId20">
              <w:r>
                <w:rPr>
                  <w:color w:val="1F5C99"/>
                  <w:u w:val="single"/>
                  <w:sz w:val="15"/>
                </w:rPr>
                <w:t xml:space="preserve">EU AI Omnibus enters into force</w:t>
              </w:r>
            </w:hyperlink>
          </w:p>
        </w:tc>
        <w:tc>
          <w:tcPr>
            <w:tcW w:type="dxa" w:w="1656"/>
          </w:tcPr>
          <w:p>
            <w:pPr>
              <w:spacing w:after="20" w:line="240" w:lineRule="auto"/>
            </w:pPr>
            <w:r/>
            <w:r>
              <w:rPr>
                <w:sz w:val="15"/>
              </w:rPr>
              <w:t>New AI Act dates; machinery</w:t>
            </w:r>
          </w:p>
        </w:tc>
        <w:tc>
          <w:tcPr>
            <w:tcW w:type="dxa" w:w="2304"/>
          </w:tcPr>
          <w:p>
            <w:pPr>
              <w:spacing w:after="20" w:line="240" w:lineRule="auto"/>
            </w:pPr>
            <w:r/>
            <w:r>
              <w:rPr>
                <w:sz w:val="15"/>
              </w:rPr>
              <w:t>Law firm summarising Regulation (EU) 2026/1744</w:t>
            </w:r>
          </w:p>
        </w:tc>
        <w:tc>
          <w:tcPr>
            <w:tcW w:type="dxa" w:w="1800"/>
          </w:tcPr>
          <w:p>
            <w:pPr>
              <w:spacing w:after="20" w:line="240" w:lineRule="auto"/>
            </w:pPr>
            <w:r/>
            <w:r>
              <w:rPr>
                <w:sz w:val="15"/>
              </w:rPr>
              <w:t>Secondary; check the Official Journal</w:t>
            </w:r>
          </w:p>
        </w:tc>
      </w:tr>
      <w:tr>
        <w:trPr>
          <w:cantSplit w:val="true"/>
        </w:trPr>
        <w:tc>
          <w:tcPr>
            <w:tcW w:type="dxa" w:w="504"/>
          </w:tcPr>
          <w:p>
            <w:pPr>
              <w:spacing w:after="20" w:line="240" w:lineRule="auto"/>
            </w:pPr>
            <w:r/>
            <w:r>
              <w:rPr>
                <w:sz w:val="15"/>
              </w:rPr>
              <w:t>S13</w:t>
            </w:r>
          </w:p>
        </w:tc>
        <w:tc>
          <w:tcPr>
            <w:tcW w:type="dxa" w:w="3096"/>
          </w:tcPr>
          <w:p>
            <w:pPr>
              <w:spacing w:after="20" w:line="240" w:lineRule="auto"/>
            </w:pPr>
            <w:r/>
            <w:r>
              <w:rPr>
                <w:sz w:val="15"/>
              </w:rPr>
              <w:t xml:space="preserve">CBS (12 Dec 2025). </w:t>
            </w:r>
            <w:hyperlink r:id="rId21">
              <w:r>
                <w:rPr>
                  <w:color w:val="1F5C99"/>
                  <w:u w:val="single"/>
                  <w:sz w:val="15"/>
                </w:rPr>
                <w:t xml:space="preserve">Bedrijven gebruiken AI vaakst voor marketing of verkoop</w:t>
              </w:r>
            </w:hyperlink>
          </w:p>
        </w:tc>
        <w:tc>
          <w:tcPr>
            <w:tcW w:type="dxa" w:w="1656"/>
          </w:tcPr>
          <w:p>
            <w:pPr>
              <w:spacing w:after="20" w:line="240" w:lineRule="auto"/>
            </w:pPr>
            <w:r/>
            <w:r>
              <w:rPr>
                <w:sz w:val="15"/>
              </w:rPr>
              <w:t>AI use by firm size</w:t>
            </w:r>
          </w:p>
        </w:tc>
        <w:tc>
          <w:tcPr>
            <w:tcW w:type="dxa" w:w="2304"/>
          </w:tcPr>
          <w:p>
            <w:pPr>
              <w:spacing w:after="20" w:line="240" w:lineRule="auto"/>
            </w:pPr>
            <w:r/>
            <w:r>
              <w:rPr>
                <w:sz w:val="15"/>
              </w:rPr>
              <w:t>Statistics Netherlands</w:t>
            </w:r>
          </w:p>
        </w:tc>
        <w:tc>
          <w:tcPr>
            <w:tcW w:type="dxa" w:w="1800"/>
          </w:tcPr>
          <w:p>
            <w:pPr>
              <w:spacing w:after="20" w:line="240" w:lineRule="auto"/>
            </w:pPr>
            <w:r/>
            <w:r>
              <w:rPr>
                <w:sz w:val="15"/>
              </w:rPr>
              <w:t>Self-reported; in Dutch</w:t>
            </w:r>
          </w:p>
        </w:tc>
      </w:tr>
    </w:tbl>
    <w:p>
      <w:pPr>
        <w:spacing w:after="40" w:line="192" w:lineRule="auto"/>
      </w:pPr>
    </w:p>
    <w:p>
      <w:pPr>
        <w:pStyle w:val="Heading1"/>
      </w:pPr>
      <w:r>
        <w:t>What our platform drafted, and what we checked</w:t>
      </w:r>
    </w:p>
    <w:p>
      <w:r>
        <w:t xml:space="preserve">This chapter was drafted with our Handbook Assistant (Claude), which searched for and read the sources above, proposed the claims, and wrote the first draft from the claims we accepted. The team checked every claim against its source: </w:t>
      </w:r>
      <w:r>
        <w:rPr>
          <w:highlight w:val="yellow"/>
        </w:rPr>
        <w:t>[initials, date]</w:t>
      </w:r>
      <w:r>
        <w:t xml:space="preserve">. The Dutch sources (S10, S13) were checked by </w:t>
      </w:r>
      <w:r>
        <w:rPr>
          <w:highlight w:val="yellow"/>
        </w:rPr>
        <w:t>[Dutch-reading member, date]</w:t>
      </w:r>
      <w:r>
        <w:t>.</w:t>
      </w:r>
    </w:p>
    <w:p>
      <w:r>
        <w:rPr>
          <w:i/>
          <w:sz w:val="18"/>
        </w:rPr>
        <w:t>Educational, not consultancy.</w:t>
      </w:r>
      <w:r>
        <w:rPr>
          <w:sz w:val="18"/>
        </w:rPr>
        <w:t xml:space="preserve"> This chapter offers research-based starting points, not legal or commercial advice; decisions remain the company’s own. No real company is described; company information is used only with consent.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mmission.europa.eu/document/download/97e481fd-2dc3-412d-be4c-f152a8232961_en" TargetMode="External"/><Relationship Id="rId10" Type="http://schemas.openxmlformats.org/officeDocument/2006/relationships/hyperlink" Target="https://www.srgresearch.com/articles/european-cloud-providers-local-market-share-now-holds-steady-at-15" TargetMode="External"/><Relationship Id="rId11" Type="http://schemas.openxmlformats.org/officeDocument/2006/relationships/hyperlink" Target="https://www.apax.com/news-views/kkr-to-acquire-exact-software-from-funds-advised-by-apax-partners/" TargetMode="External"/><Relationship Id="rId12" Type="http://schemas.openxmlformats.org/officeDocument/2006/relationships/hyperlink" Target="https://www.ecisolutions.com/nl/producten/ridder-iq/" TargetMode="External"/><Relationship Id="rId13" Type="http://schemas.openxmlformats.org/officeDocument/2006/relationships/hyperlink" Target="https://www.leonardgreen.com/eci-software-solutions-to-be-acquired-by-leonard-green-funds-advised-by-apax-partners-to-retain-minority-stake/" TargetMode="External"/><Relationship Id="rId14" Type="http://schemas.openxmlformats.org/officeDocument/2006/relationships/hyperlink" Target="https://www.theregister.com/off-prem/2025/07/25/microsoft-exec-admits-it-cannot-guarantee-data-sovereignty/458553" TargetMode="External"/><Relationship Id="rId15" Type="http://schemas.openxmlformats.org/officeDocument/2006/relationships/hyperlink" Target="https://www.anthropic.com/news/fable-mythos-access" TargetMode="External"/><Relationship Id="rId16" Type="http://schemas.openxmlformats.org/officeDocument/2006/relationships/hyperlink" Target="https://www.aljazeera.com/economy/2026/7/1/us-lifts-restrictions-on-powerful-ai-models-fable-mythos-anthropic-says" TargetMode="External"/><Relationship Id="rId17" Type="http://schemas.openxmlformats.org/officeDocument/2006/relationships/hyperlink" Target="https://www.axios.com/2024/07/17/meta-future-multimodal-ai-models-eu" TargetMode="External"/><Relationship Id="rId18" Type="http://schemas.openxmlformats.org/officeDocument/2006/relationships/hyperlink" Target="https://nos.nl/artikel/2554013-autoriteit-persoonsgegevens-waarschuwt-voor-chinese-chatbot-deepseek" TargetMode="External"/><Relationship Id="rId19" Type="http://schemas.openxmlformats.org/officeDocument/2006/relationships/hyperlink" Target="https://digital-strategy.ec.europa.eu/en/factpages/data-act-explained" TargetMode="External"/><Relationship Id="rId20" Type="http://schemas.openxmlformats.org/officeDocument/2006/relationships/hyperlink" Target="https://www.whitecase.com/insight-alert/eu-ai-omnibus-enters-force-amending-ai-act" TargetMode="External"/><Relationship Id="rId21" Type="http://schemas.openxmlformats.org/officeDocument/2006/relationships/hyperlink" Target="https://www.cbs.nl/nl-nl/nieuws/2025/50/bedrijven-gebruiken-ai-vaakst-voor-marketing-of-verko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 08</dc:creator>
  <cp:keywords/>
  <dc:description>generated by python-docx</dc:description>
  <cp:lastModifiedBy/>
  <cp:revision>1</cp:revision>
  <dcterms:created xsi:type="dcterms:W3CDTF">2013-12-23T23:15:00Z</dcterms:created>
  <dcterms:modified xsi:type="dcterms:W3CDTF">2013-12-23T23:15:00Z</dcterms:modified>
  <cp:category/>
</cp:coreProperties>
</file>