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 we trust AI with our drawings, our data, our machines and our people?</w:t>
      </w:r>
    </w:p>
    <w:p>
      <w:pPr>
        <w:pStyle w:val="IntenseQuote"/>
      </w:pPr>
      <w:r>
        <w:t>Handbook chapter: Trust and AI safety · Team 08 · 2026 cohort · SME: persona, a Dutch family-owned builder of professional coffee-roasting and food-processing machines, 50–249 staff, exporting worldwide · Sources appraised: 26 September 2026 · Answers E2 and I2</w:t>
      </w:r>
    </w:p>
    <w:p>
      <w:pPr>
        <w:pStyle w:val="Heading1"/>
      </w:pPr>
      <w:r>
        <w:t>The question, for this kind of SME</w:t>
      </w:r>
    </w:p>
    <w:p>
      <w:r>
        <w:rPr>
          <w:i/>
        </w:rPr>
        <w:t>“Can we trust an AI tool with our drawings, our customers’ data and our planning, without creating a data, safety or people problem?”</w:t>
      </w:r>
      <w:r>
        <w:t xml:space="preserve"> For a machine builder this comes in three parts. What may leave the building? When may AI act for us, including inside our machines, and when may it only advise? And what happens when staff use AI without saying so?</w:t>
      </w:r>
    </w:p>
    <w:p>
      <w:r>
        <w:t>These are exactly the worries that hold Dutch firms back. Among firms that considered AI but did not adopt it, 49% named privacy and 42% named unclear legal consequences, such as liability [S1].</w:t>
      </w:r>
    </w:p>
    <w:p>
      <w:pPr>
        <w:pStyle w:val="Heading1"/>
      </w:pPr>
      <w:r>
        <w:t>The translation</w:t>
      </w:r>
    </w:p>
    <w:p>
      <w:r>
        <w:t>Do not try to decide whether “AI is safe” in general. For each use, decide three things: what data may be used, whether the tool may only advise or may also act, and how staff tell you they use it. Start small and reversible, and keep a named person responsible for every decision.</w:t>
      </w:r>
    </w:p>
    <w:p>
      <w:pPr>
        <w:pStyle w:val="Heading2"/>
      </w:pPr>
      <w:r>
        <w:t>1. What may leave the building?</w:t>
      </w:r>
    </w:p>
    <w:tbl>
      <w:tblPr>
        <w:tblStyle w:val="TableGrid"/>
        <w:tblW w:type="auto" w:w="0"/>
        <w:jc w:val="center"/>
        <w:tblLayout w:type="fixed"/>
        <w:tblLook w:firstColumn="1" w:firstRow="1" w:lastColumn="0" w:lastRow="0" w:noHBand="0" w:noVBand="1" w:val="04A0"/>
      </w:tblPr>
      <w:tblGrid>
        <w:gridCol w:w="2160"/>
        <w:gridCol w:w="4031"/>
        <w:gridCol w:w="3168"/>
      </w:tblGrid>
      <w:tr>
        <w:trPr>
          <w:cantSplit w:val="true"/>
          <w:tblHeader w:val="true"/>
        </w:trPr>
        <w:tc>
          <w:tcPr>
            <w:tcW w:type="dxa" w:w="2160"/>
            <w:shd w:val="clear" w:color="auto" w:fill="DCE6F0"/>
          </w:tcPr>
          <w:p>
            <w:pPr>
              <w:spacing w:after="20" w:line="240" w:lineRule="auto"/>
            </w:pPr>
            <w:r/>
            <w:r>
              <w:rPr>
                <w:b/>
                <w:sz w:val="18"/>
              </w:rPr>
              <w:t>Category</w:t>
            </w:r>
          </w:p>
        </w:tc>
        <w:tc>
          <w:tcPr>
            <w:tcW w:type="dxa" w:w="4032"/>
            <w:shd w:val="clear" w:color="auto" w:fill="DCE6F0"/>
          </w:tcPr>
          <w:p>
            <w:pPr>
              <w:spacing w:after="20" w:line="240" w:lineRule="auto"/>
            </w:pPr>
            <w:r/>
            <w:r>
              <w:rPr>
                <w:b/>
                <w:sz w:val="18"/>
              </w:rPr>
              <w:t>Examples in a machine-building firm</w:t>
            </w:r>
          </w:p>
        </w:tc>
        <w:tc>
          <w:tcPr>
            <w:tcW w:type="dxa" w:w="3168"/>
            <w:shd w:val="clear" w:color="auto" w:fill="DCE6F0"/>
          </w:tcPr>
          <w:p>
            <w:pPr>
              <w:spacing w:after="20" w:line="240" w:lineRule="auto"/>
            </w:pPr>
            <w:r/>
            <w:r>
              <w:rPr>
                <w:b/>
                <w:sz w:val="18"/>
              </w:rPr>
              <w:t>Rule</w:t>
            </w:r>
          </w:p>
        </w:tc>
      </w:tr>
      <w:tr>
        <w:trPr>
          <w:cantSplit w:val="true"/>
        </w:trPr>
        <w:tc>
          <w:tcPr>
            <w:tcW w:type="dxa" w:w="2160"/>
          </w:tcPr>
          <w:p>
            <w:pPr>
              <w:spacing w:after="20" w:line="240" w:lineRule="auto"/>
            </w:pPr>
            <w:r/>
            <w:r>
              <w:rPr>
                <w:b/>
                <w:sz w:val="18"/>
              </w:rPr>
              <w:t>Green</w:t>
            </w:r>
            <w:r>
              <w:rPr>
                <w:sz w:val="18"/>
              </w:rPr>
              <w:t>: public</w:t>
            </w:r>
          </w:p>
        </w:tc>
        <w:tc>
          <w:tcPr>
            <w:tcW w:type="dxa" w:w="4032"/>
          </w:tcPr>
          <w:p>
            <w:pPr>
              <w:spacing w:after="20" w:line="240" w:lineRule="auto"/>
            </w:pPr>
            <w:r/>
            <w:r>
              <w:rPr>
                <w:sz w:val="18"/>
              </w:rPr>
              <w:t>Brochures, published manuals and specifications, public news</w:t>
            </w:r>
          </w:p>
        </w:tc>
        <w:tc>
          <w:tcPr>
            <w:tcW w:type="dxa" w:w="3168"/>
          </w:tcPr>
          <w:p>
            <w:pPr>
              <w:spacing w:after="20" w:line="240" w:lineRule="auto"/>
            </w:pPr>
            <w:r/>
            <w:r>
              <w:rPr>
                <w:sz w:val="18"/>
              </w:rPr>
              <w:t>May be used in an approved AI tool</w:t>
            </w:r>
          </w:p>
        </w:tc>
      </w:tr>
      <w:tr>
        <w:trPr>
          <w:cantSplit w:val="true"/>
        </w:trPr>
        <w:tc>
          <w:tcPr>
            <w:tcW w:type="dxa" w:w="2160"/>
          </w:tcPr>
          <w:p>
            <w:pPr>
              <w:spacing w:after="20" w:line="240" w:lineRule="auto"/>
            </w:pPr>
            <w:r/>
            <w:r>
              <w:rPr>
                <w:b/>
                <w:sz w:val="18"/>
              </w:rPr>
              <w:t>Amber</w:t>
            </w:r>
            <w:r>
              <w:rPr>
                <w:sz w:val="18"/>
              </w:rPr>
              <w:t>: controlled</w:t>
            </w:r>
          </w:p>
        </w:tc>
        <w:tc>
          <w:tcPr>
            <w:tcW w:type="dxa" w:w="4032"/>
          </w:tcPr>
          <w:p>
            <w:pPr>
              <w:spacing w:after="20" w:line="240" w:lineRule="auto"/>
            </w:pPr>
            <w:r/>
            <w:r>
              <w:rPr>
                <w:sz w:val="18"/>
              </w:rPr>
              <w:t>Lead times without customer names, anonymised service tickets, aggregated quality figures</w:t>
            </w:r>
          </w:p>
        </w:tc>
        <w:tc>
          <w:tcPr>
            <w:tcW w:type="dxa" w:w="3168"/>
          </w:tcPr>
          <w:p>
            <w:pPr>
              <w:spacing w:after="20" w:line="240" w:lineRule="auto"/>
            </w:pPr>
            <w:r/>
            <w:r>
              <w:rPr>
                <w:sz w:val="18"/>
              </w:rPr>
              <w:t>Only with owner approval, the smallest possible data set, and a checked vendor agreement</w:t>
            </w:r>
          </w:p>
        </w:tc>
      </w:tr>
      <w:tr>
        <w:trPr>
          <w:cantSplit w:val="true"/>
        </w:trPr>
        <w:tc>
          <w:tcPr>
            <w:tcW w:type="dxa" w:w="2160"/>
          </w:tcPr>
          <w:p>
            <w:pPr>
              <w:spacing w:after="20" w:line="240" w:lineRule="auto"/>
            </w:pPr>
            <w:r/>
            <w:r>
              <w:rPr>
                <w:b/>
                <w:sz w:val="18"/>
              </w:rPr>
              <w:t>Red</w:t>
            </w:r>
            <w:r>
              <w:rPr>
                <w:sz w:val="18"/>
              </w:rPr>
              <w:t>: never into outside AI tools</w:t>
            </w:r>
          </w:p>
        </w:tc>
        <w:tc>
          <w:tcPr>
            <w:tcW w:type="dxa" w:w="4032"/>
          </w:tcPr>
          <w:p>
            <w:pPr>
              <w:spacing w:after="20" w:line="240" w:lineRule="auto"/>
            </w:pPr>
            <w:r/>
            <w:r>
              <w:rPr>
                <w:sz w:val="18"/>
              </w:rPr>
              <w:t>Customer drawings and specifications, customers’ roast profiles or recipes, quotations and prices, employee data, source code of machine software, passwords</w:t>
            </w:r>
          </w:p>
        </w:tc>
        <w:tc>
          <w:tcPr>
            <w:tcW w:type="dxa" w:w="3168"/>
          </w:tcPr>
          <w:p>
            <w:pPr>
              <w:spacing w:after="20" w:line="240" w:lineRule="auto"/>
            </w:pPr>
            <w:r/>
            <w:r>
              <w:rPr>
                <w:sz w:val="18"/>
              </w:rPr>
              <w:t>Never in public or unapproved AI tools</w:t>
            </w:r>
          </w:p>
        </w:tc>
      </w:tr>
    </w:tbl>
    <w:p>
      <w:pPr>
        <w:spacing w:after="40" w:line="192" w:lineRule="auto"/>
      </w:pPr>
    </w:p>
    <w:p>
      <w:r>
        <w:rPr>
          <w:b/>
        </w:rPr>
        <w:t>Why this matters legally.</w:t>
      </w:r>
      <w:r>
        <w:t xml:space="preserve"> Pasting personal data into an AI chatbot can itself be a data breach. The Dutch data-protection authority (AP) describes an employee who entered patients’ medical data and another who uploaded a file of customer addresses. When staff do this against their employer’s rules, reporting it to the AP and to the people affected is often mandatory [S2]. In 2025 the AP received dozens of such reports, often involving free chatbot versions used while the employer had paid for an approved one [S3].</w:t>
      </w:r>
    </w:p>
    <w:p>
      <w:r>
        <w:rPr>
          <w:b/>
        </w:rPr>
        <w:t>The version matters as much as the vendor.</w:t>
      </w:r>
      <w:r>
        <w:t xml:space="preserve"> OpenAI, for example, states that by default it does not train its models on data from its business and API products [S4]; its consumer versions have separate terms. Before approving a tool, check the data location, retention, subprocessors and training use </w:t>
      </w:r>
      <w:r>
        <w:rPr>
          <w:i/>
        </w:rPr>
        <w:t>for the exact version your staff will use</w:t>
      </w:r>
      <w:r>
        <w:t>.</w:t>
      </w:r>
    </w:p>
    <w:p>
      <w:pPr>
        <w:pStyle w:val="Heading2"/>
      </w:pPr>
      <w:r>
        <w:t>2. When may AI act?</w:t>
      </w:r>
    </w:p>
    <w:tbl>
      <w:tblPr>
        <w:tblStyle w:val="TableGrid"/>
        <w:tblW w:type="auto" w:w="0"/>
        <w:jc w:val="center"/>
        <w:tblLayout w:type="fixed"/>
        <w:tblLook w:firstColumn="1" w:firstRow="1" w:lastColumn="0" w:lastRow="0" w:noHBand="0" w:noVBand="1" w:val="04A0"/>
      </w:tblPr>
      <w:tblGrid>
        <w:gridCol w:w="2160"/>
        <w:gridCol w:w="4320"/>
        <w:gridCol w:w="2880"/>
      </w:tblGrid>
      <w:tr>
        <w:trPr>
          <w:cantSplit w:val="true"/>
          <w:tblHeader w:val="true"/>
        </w:trPr>
        <w:tc>
          <w:tcPr>
            <w:tcW w:type="dxa" w:w="2160"/>
            <w:shd w:val="clear" w:color="auto" w:fill="DCE6F0"/>
          </w:tcPr>
          <w:p>
            <w:pPr>
              <w:spacing w:after="20" w:line="240" w:lineRule="auto"/>
            </w:pPr>
            <w:r/>
            <w:r>
              <w:rPr>
                <w:b/>
                <w:sz w:val="18"/>
              </w:rPr>
              <w:t>Level</w:t>
            </w:r>
          </w:p>
        </w:tc>
        <w:tc>
          <w:tcPr>
            <w:tcW w:type="dxa" w:w="4320"/>
            <w:shd w:val="clear" w:color="auto" w:fill="DCE6F0"/>
          </w:tcPr>
          <w:p>
            <w:pPr>
              <w:spacing w:after="20" w:line="240" w:lineRule="auto"/>
            </w:pPr>
            <w:r/>
            <w:r>
              <w:rPr>
                <w:b/>
                <w:sz w:val="18"/>
              </w:rPr>
              <w:t>Example</w:t>
            </w:r>
          </w:p>
        </w:tc>
        <w:tc>
          <w:tcPr>
            <w:tcW w:type="dxa" w:w="2880"/>
            <w:shd w:val="clear" w:color="auto" w:fill="DCE6F0"/>
          </w:tcPr>
          <w:p>
            <w:pPr>
              <w:spacing w:after="20" w:line="240" w:lineRule="auto"/>
            </w:pPr>
            <w:r/>
            <w:r>
              <w:rPr>
                <w:b/>
                <w:sz w:val="18"/>
              </w:rPr>
              <w:t>Human role</w:t>
            </w:r>
          </w:p>
        </w:tc>
      </w:tr>
      <w:tr>
        <w:trPr>
          <w:cantSplit w:val="true"/>
        </w:trPr>
        <w:tc>
          <w:tcPr>
            <w:tcW w:type="dxa" w:w="2160"/>
          </w:tcPr>
          <w:p>
            <w:pPr>
              <w:spacing w:after="20" w:line="240" w:lineRule="auto"/>
            </w:pPr>
            <w:r/>
            <w:r>
              <w:rPr>
                <w:b/>
                <w:sz w:val="18"/>
              </w:rPr>
              <w:t>Green</w:t>
            </w:r>
            <w:r>
              <w:rPr>
                <w:sz w:val="18"/>
              </w:rPr>
              <w:t>: AI assists</w:t>
            </w:r>
          </w:p>
        </w:tc>
        <w:tc>
          <w:tcPr>
            <w:tcW w:type="dxa" w:w="4320"/>
          </w:tcPr>
          <w:p>
            <w:pPr>
              <w:spacing w:after="20" w:line="240" w:lineRule="auto"/>
            </w:pPr>
            <w:r/>
            <w:r>
              <w:rPr>
                <w:sz w:val="18"/>
              </w:rPr>
              <w:t>Summarising a service report; translating a manual; drafting an email</w:t>
            </w:r>
          </w:p>
        </w:tc>
        <w:tc>
          <w:tcPr>
            <w:tcW w:type="dxa" w:w="2880"/>
          </w:tcPr>
          <w:p>
            <w:pPr>
              <w:spacing w:after="20" w:line="240" w:lineRule="auto"/>
            </w:pPr>
            <w:r/>
            <w:r>
              <w:rPr>
                <w:sz w:val="18"/>
              </w:rPr>
              <w:t>A person checks before use</w:t>
            </w:r>
          </w:p>
        </w:tc>
      </w:tr>
      <w:tr>
        <w:trPr>
          <w:cantSplit w:val="true"/>
        </w:trPr>
        <w:tc>
          <w:tcPr>
            <w:tcW w:type="dxa" w:w="2160"/>
          </w:tcPr>
          <w:p>
            <w:pPr>
              <w:spacing w:after="20" w:line="240" w:lineRule="auto"/>
            </w:pPr>
            <w:r/>
            <w:r>
              <w:rPr>
                <w:b/>
                <w:sz w:val="18"/>
              </w:rPr>
              <w:t>Amber</w:t>
            </w:r>
            <w:r>
              <w:rPr>
                <w:sz w:val="18"/>
              </w:rPr>
              <w:t>: AI recommends</w:t>
            </w:r>
          </w:p>
        </w:tc>
        <w:tc>
          <w:tcPr>
            <w:tcW w:type="dxa" w:w="4320"/>
          </w:tcPr>
          <w:p>
            <w:pPr>
              <w:spacing w:after="20" w:line="240" w:lineRule="auto"/>
            </w:pPr>
            <w:r/>
            <w:r>
              <w:rPr>
                <w:sz w:val="18"/>
              </w:rPr>
              <w:t>Suggesting a workshop sequence; flagging an order that may be late; forecasting spare parts</w:t>
            </w:r>
          </w:p>
        </w:tc>
        <w:tc>
          <w:tcPr>
            <w:tcW w:type="dxa" w:w="2880"/>
          </w:tcPr>
          <w:p>
            <w:pPr>
              <w:spacing w:after="20" w:line="240" w:lineRule="auto"/>
            </w:pPr>
            <w:r/>
            <w:r>
              <w:rPr>
                <w:sz w:val="18"/>
              </w:rPr>
              <w:t>A named planner or engineer approves and records the decision</w:t>
            </w:r>
          </w:p>
        </w:tc>
      </w:tr>
      <w:tr>
        <w:trPr>
          <w:cantSplit w:val="true"/>
        </w:trPr>
        <w:tc>
          <w:tcPr>
            <w:tcW w:type="dxa" w:w="2160"/>
          </w:tcPr>
          <w:p>
            <w:pPr>
              <w:spacing w:after="20" w:line="240" w:lineRule="auto"/>
            </w:pPr>
            <w:r/>
            <w:r>
              <w:rPr>
                <w:b/>
                <w:sz w:val="18"/>
              </w:rPr>
              <w:t>Red</w:t>
            </w:r>
            <w:r>
              <w:rPr>
                <w:sz w:val="18"/>
              </w:rPr>
              <w:t>: AI never acts alone</w:t>
            </w:r>
          </w:p>
        </w:tc>
        <w:tc>
          <w:tcPr>
            <w:tcW w:type="dxa" w:w="4320"/>
          </w:tcPr>
          <w:p>
            <w:pPr>
              <w:spacing w:after="20" w:line="240" w:lineRule="auto"/>
            </w:pPr>
            <w:r/>
            <w:r>
              <w:rPr>
                <w:sz w:val="18"/>
              </w:rPr>
              <w:t>Changing machine or roasting settings, safety functions, promising delivery dates, decisions about staff</w:t>
            </w:r>
          </w:p>
        </w:tc>
        <w:tc>
          <w:tcPr>
            <w:tcW w:type="dxa" w:w="2880"/>
          </w:tcPr>
          <w:p>
            <w:pPr>
              <w:spacing w:after="20" w:line="240" w:lineRule="auto"/>
            </w:pPr>
            <w:r/>
            <w:r>
              <w:rPr>
                <w:sz w:val="18"/>
              </w:rPr>
              <w:t>AI may supply evidence; a person decides</w:t>
            </w:r>
          </w:p>
        </w:tc>
      </w:tr>
    </w:tbl>
    <w:p>
      <w:pPr>
        <w:spacing w:after="40" w:line="192" w:lineRule="auto"/>
      </w:pPr>
    </w:p>
    <w:p>
      <w:r>
        <w:rPr>
          <w:b/>
        </w:rPr>
        <w:t>What the law already says about the red zone.</w:t>
      </w:r>
      <w:r>
        <w:t xml:space="preserve"> Since 2 February 2025 the AI Act has banned AI that infers employees’ emotions at work. AI that allocates tasks based on individual behaviour, or monitors and evaluates staff, counts as high-risk [S5], and after the July 2026 amendment those obligations apply from 2 December 2027 [S6]. For machine builders there is a second rule book. From 20 January 2027 the new Machinery Regulation treats machinery and safety components with self-learning (machine-learning) behaviour that ensures safety functions as high-risk, and they need an independent third-party conformity assessment [S7][S8]. </w:t>
      </w:r>
      <w:r>
        <w:rPr>
          <w:i/>
        </w:rPr>
        <w:t>In practice:</w:t>
      </w:r>
      <w:r>
        <w:t xml:space="preserve"> keep AI out of machine control and safety functions until you know which rules apply, and ask the question before a customer or supplier asks it for you.</w:t>
      </w:r>
    </w:p>
    <w:p>
      <w:pPr>
        <w:pStyle w:val="Heading2"/>
      </w:pPr>
      <w:r>
        <w:t>3. When staff use AI and do not say so</w:t>
      </w:r>
    </w:p>
    <w:p>
      <w:r>
        <w:t>Quiet AI use is normal, not exceptional. In a 2024 survey of 31,000 workers in 31 countries, 75% of knowledge workers used AI at work, and 78% of them brought their own tools [S9]. That is a vendor’s survey, but the AP’s breach reports show the same pattern in the Netherlands [S3]. Treat it as a process and training issue, not a disciplinary one. Publish a short rule covering approved tools, forbidden data, when use must be mentioned, a contact person, and a no-blame way to report an accidental upload. The AI Act also asks firms that use AI to support their staff’s AI literacy; the July 2026 amendment softened the original wording [S5][S6].</w:t>
      </w:r>
    </w:p>
    <w:p>
      <w:pPr>
        <w:pStyle w:val="Heading1"/>
      </w:pPr>
      <w:r>
        <w:t>Illustrative use case (CRISP-DM): a late-order warning list</w:t>
      </w:r>
    </w:p>
    <w:p>
      <w:r>
        <w:t>An AI-supported list for the weekly workshop planning meeting that flags machine orders at risk of missing their date. It advises; it never changes the plan or contacts customers.</w:t>
      </w:r>
    </w:p>
    <w:tbl>
      <w:tblPr>
        <w:tblStyle w:val="TableGrid"/>
        <w:tblW w:type="auto" w:w="0"/>
        <w:jc w:val="center"/>
        <w:tblLayout w:type="fixed"/>
        <w:tblLook w:firstColumn="1" w:firstRow="1" w:lastColumn="0" w:lastRow="0" w:noHBand="0" w:noVBand="1" w:val="04A0"/>
      </w:tblPr>
      <w:tblGrid>
        <w:gridCol w:w="2304"/>
        <w:gridCol w:w="7056"/>
      </w:tblGrid>
      <w:tr>
        <w:trPr>
          <w:cantSplit w:val="true"/>
          <w:tblHeader w:val="true"/>
        </w:trPr>
        <w:tc>
          <w:tcPr>
            <w:tcW w:type="dxa" w:w="2304"/>
            <w:shd w:val="clear" w:color="auto" w:fill="DCE6F0"/>
          </w:tcPr>
          <w:p>
            <w:pPr>
              <w:spacing w:after="20" w:line="240" w:lineRule="auto"/>
            </w:pPr>
            <w:r/>
            <w:r>
              <w:rPr>
                <w:b/>
                <w:sz w:val="18"/>
              </w:rPr>
              <w:t>Phase</w:t>
            </w:r>
          </w:p>
        </w:tc>
        <w:tc>
          <w:tcPr>
            <w:tcW w:type="dxa" w:w="7056"/>
            <w:shd w:val="clear" w:color="auto" w:fill="DCE6F0"/>
          </w:tcPr>
          <w:p>
            <w:pPr>
              <w:spacing w:after="20" w:line="240" w:lineRule="auto"/>
            </w:pPr>
            <w:r/>
            <w:r>
              <w:rPr>
                <w:b/>
                <w:sz w:val="18"/>
              </w:rPr>
              <w:t>What the company does</w:t>
            </w:r>
          </w:p>
        </w:tc>
      </w:tr>
      <w:tr>
        <w:trPr>
          <w:cantSplit w:val="true"/>
        </w:trPr>
        <w:tc>
          <w:tcPr>
            <w:tcW w:type="dxa" w:w="2304"/>
          </w:tcPr>
          <w:p>
            <w:pPr>
              <w:spacing w:after="20" w:line="240" w:lineRule="auto"/>
            </w:pPr>
            <w:r/>
            <w:r>
              <w:rPr>
                <w:sz w:val="18"/>
              </w:rPr>
              <w:t>1. Business understanding</w:t>
            </w:r>
          </w:p>
        </w:tc>
        <w:tc>
          <w:tcPr>
            <w:tcW w:type="dxa" w:w="7056"/>
          </w:tcPr>
          <w:p>
            <w:pPr>
              <w:spacing w:after="20" w:line="240" w:lineRule="auto"/>
            </w:pPr>
            <w:r/>
            <w:r>
              <w:rPr>
                <w:sz w:val="18"/>
              </w:rPr>
              <w:t>Fewer late deliveries. Success: the planner finds the flags useful, and they add no more than 15 minutes to the weekly meeting.</w:t>
            </w:r>
          </w:p>
        </w:tc>
      </w:tr>
      <w:tr>
        <w:trPr>
          <w:cantSplit w:val="true"/>
        </w:trPr>
        <w:tc>
          <w:tcPr>
            <w:tcW w:type="dxa" w:w="2304"/>
          </w:tcPr>
          <w:p>
            <w:pPr>
              <w:spacing w:after="20" w:line="240" w:lineRule="auto"/>
            </w:pPr>
            <w:r/>
            <w:r>
              <w:rPr>
                <w:sz w:val="18"/>
              </w:rPr>
              <w:t>2. Data understanding</w:t>
            </w:r>
          </w:p>
        </w:tc>
        <w:tc>
          <w:tcPr>
            <w:tcW w:type="dxa" w:w="7056"/>
          </w:tcPr>
          <w:p>
            <w:pPr>
              <w:spacing w:after="20" w:line="240" w:lineRule="auto"/>
            </w:pPr>
            <w:r/>
            <w:r>
              <w:rPr>
                <w:sz w:val="18"/>
              </w:rPr>
              <w:t>Past order dates, planned and actual completion dates, routing steps, delay reasons. Check completeness, ownership, and whether customer names can be removed.</w:t>
            </w:r>
          </w:p>
        </w:tc>
      </w:tr>
      <w:tr>
        <w:trPr>
          <w:cantSplit w:val="true"/>
        </w:trPr>
        <w:tc>
          <w:tcPr>
            <w:tcW w:type="dxa" w:w="2304"/>
          </w:tcPr>
          <w:p>
            <w:pPr>
              <w:spacing w:after="20" w:line="240" w:lineRule="auto"/>
            </w:pPr>
            <w:r/>
            <w:r>
              <w:rPr>
                <w:sz w:val="18"/>
              </w:rPr>
              <w:t>3. Data preparation</w:t>
            </w:r>
          </w:p>
        </w:tc>
        <w:tc>
          <w:tcPr>
            <w:tcW w:type="dxa" w:w="7056"/>
          </w:tcPr>
          <w:p>
            <w:pPr>
              <w:spacing w:after="20" w:line="240" w:lineRule="auto"/>
            </w:pPr>
            <w:r/>
            <w:r>
              <w:rPr>
                <w:sz w:val="18"/>
              </w:rPr>
              <w:t>Use the smallest set that works. Remove customer names, prices, drawings and free-text notes (red data). Keep a list of each field and why it is used.</w:t>
            </w:r>
          </w:p>
        </w:tc>
      </w:tr>
      <w:tr>
        <w:trPr>
          <w:cantSplit w:val="true"/>
        </w:trPr>
        <w:tc>
          <w:tcPr>
            <w:tcW w:type="dxa" w:w="2304"/>
          </w:tcPr>
          <w:p>
            <w:pPr>
              <w:spacing w:after="20" w:line="240" w:lineRule="auto"/>
            </w:pPr>
            <w:r/>
            <w:r>
              <w:rPr>
                <w:sz w:val="18"/>
              </w:rPr>
              <w:t>4. Modelling</w:t>
            </w:r>
          </w:p>
        </w:tc>
        <w:tc>
          <w:tcPr>
            <w:tcW w:type="dxa" w:w="7056"/>
          </w:tcPr>
          <w:p>
            <w:pPr>
              <w:spacing w:after="20" w:line="240" w:lineRule="auto"/>
            </w:pPr>
            <w:r/>
            <w:r>
              <w:rPr>
                <w:sz w:val="18"/>
              </w:rPr>
              <w:t>Start without AI: a spreadsheet rule that marks orders low, medium or high risk. Consider AI only after this baseline is measured. The output is always a recommendation.</w:t>
            </w:r>
          </w:p>
        </w:tc>
      </w:tr>
      <w:tr>
        <w:trPr>
          <w:cantSplit w:val="true"/>
        </w:trPr>
        <w:tc>
          <w:tcPr>
            <w:tcW w:type="dxa" w:w="2304"/>
          </w:tcPr>
          <w:p>
            <w:pPr>
              <w:spacing w:after="20" w:line="240" w:lineRule="auto"/>
            </w:pPr>
            <w:r/>
            <w:r>
              <w:rPr>
                <w:sz w:val="18"/>
              </w:rPr>
              <w:t>5. Evaluation</w:t>
            </w:r>
          </w:p>
        </w:tc>
        <w:tc>
          <w:tcPr>
            <w:tcW w:type="dxa" w:w="7056"/>
          </w:tcPr>
          <w:p>
            <w:pPr>
              <w:spacing w:after="20" w:line="240" w:lineRule="auto"/>
            </w:pPr>
            <w:r/>
            <w:r>
              <w:rPr>
                <w:sz w:val="18"/>
              </w:rPr>
              <w:t>Test on past months: compare the flags with the planner’s own view. Record false alarms and missed late orders. Stop if the output cannot be explained.</w:t>
            </w:r>
          </w:p>
        </w:tc>
      </w:tr>
      <w:tr>
        <w:trPr>
          <w:cantSplit w:val="true"/>
        </w:trPr>
        <w:tc>
          <w:tcPr>
            <w:tcW w:type="dxa" w:w="2304"/>
          </w:tcPr>
          <w:p>
            <w:pPr>
              <w:spacing w:after="20" w:line="240" w:lineRule="auto"/>
            </w:pPr>
            <w:r/>
            <w:r>
              <w:rPr>
                <w:sz w:val="18"/>
              </w:rPr>
              <w:t>6. Deployment</w:t>
            </w:r>
          </w:p>
        </w:tc>
        <w:tc>
          <w:tcPr>
            <w:tcW w:type="dxa" w:w="7056"/>
          </w:tcPr>
          <w:p>
            <w:pPr>
              <w:spacing w:after="20" w:line="240" w:lineRule="auto"/>
            </w:pPr>
            <w:r/>
            <w:r>
              <w:rPr>
                <w:sz w:val="18"/>
              </w:rPr>
              <w:t>A four-week trial in the weekly meeting. A named planner approves every action, the old way runs alongside, and at the end: stop, adjust or continue.</w:t>
            </w:r>
          </w:p>
        </w:tc>
      </w:tr>
    </w:tbl>
    <w:p>
      <w:pPr>
        <w:spacing w:after="40" w:line="192" w:lineRule="auto"/>
      </w:pPr>
    </w:p>
    <w:p>
      <w:pPr>
        <w:pStyle w:val="Heading1"/>
      </w:pPr>
      <w:r>
        <w:t>Recommended tooling</w:t>
      </w:r>
    </w:p>
    <w:tbl>
      <w:tblPr>
        <w:tblStyle w:val="TableGrid"/>
        <w:tblW w:type="auto" w:w="0"/>
        <w:jc w:val="center"/>
        <w:tblLayout w:type="fixed"/>
        <w:tblLook w:firstColumn="1" w:firstRow="1" w:lastColumn="0" w:lastRow="0" w:noHBand="0" w:noVBand="1" w:val="04A0"/>
      </w:tblPr>
      <w:tblGrid>
        <w:gridCol w:w="2088"/>
        <w:gridCol w:w="3024"/>
        <w:gridCol w:w="1944"/>
        <w:gridCol w:w="2304"/>
      </w:tblGrid>
      <w:tr>
        <w:trPr>
          <w:cantSplit w:val="true"/>
          <w:tblHeader w:val="true"/>
        </w:trPr>
        <w:tc>
          <w:tcPr>
            <w:tcW w:type="dxa" w:w="2088"/>
            <w:shd w:val="clear" w:color="auto" w:fill="DCE6F0"/>
          </w:tcPr>
          <w:p>
            <w:pPr>
              <w:spacing w:after="20" w:line="240" w:lineRule="auto"/>
            </w:pPr>
            <w:r/>
            <w:r>
              <w:rPr>
                <w:b/>
                <w:sz w:val="18"/>
              </w:rPr>
              <w:t>Option</w:t>
            </w:r>
          </w:p>
        </w:tc>
        <w:tc>
          <w:tcPr>
            <w:tcW w:type="dxa" w:w="3024"/>
            <w:shd w:val="clear" w:color="auto" w:fill="DCE6F0"/>
          </w:tcPr>
          <w:p>
            <w:pPr>
              <w:spacing w:after="20" w:line="240" w:lineRule="auto"/>
            </w:pPr>
            <w:r/>
            <w:r>
              <w:rPr>
                <w:b/>
                <w:sz w:val="18"/>
              </w:rPr>
              <w:t>What it is for</w:t>
            </w:r>
          </w:p>
        </w:tc>
        <w:tc>
          <w:tcPr>
            <w:tcW w:type="dxa" w:w="1944"/>
            <w:shd w:val="clear" w:color="auto" w:fill="DCE6F0"/>
          </w:tcPr>
          <w:p>
            <w:pPr>
              <w:spacing w:after="20" w:line="240" w:lineRule="auto"/>
            </w:pPr>
            <w:r/>
            <w:r>
              <w:rPr>
                <w:b/>
                <w:sz w:val="18"/>
              </w:rPr>
              <w:t>Effort / cost</w:t>
            </w:r>
          </w:p>
        </w:tc>
        <w:tc>
          <w:tcPr>
            <w:tcW w:type="dxa" w:w="2304"/>
            <w:shd w:val="clear" w:color="auto" w:fill="DCE6F0"/>
          </w:tcPr>
          <w:p>
            <w:pPr>
              <w:spacing w:after="20" w:line="240" w:lineRule="auto"/>
            </w:pPr>
            <w:r/>
            <w:r>
              <w:rPr>
                <w:b/>
                <w:sz w:val="18"/>
              </w:rPr>
              <w:t>Guardrail</w:t>
            </w:r>
          </w:p>
        </w:tc>
      </w:tr>
      <w:tr>
        <w:trPr>
          <w:cantSplit w:val="true"/>
        </w:trPr>
        <w:tc>
          <w:tcPr>
            <w:tcW w:type="dxa" w:w="2088"/>
          </w:tcPr>
          <w:p>
            <w:pPr>
              <w:spacing w:after="20" w:line="240" w:lineRule="auto"/>
            </w:pPr>
            <w:r/>
            <w:r>
              <w:rPr>
                <w:sz w:val="18"/>
              </w:rPr>
              <w:t>Spreadsheet baseline</w:t>
            </w:r>
          </w:p>
        </w:tc>
        <w:tc>
          <w:tcPr>
            <w:tcW w:type="dxa" w:w="3024"/>
          </w:tcPr>
          <w:p>
            <w:pPr>
              <w:spacing w:after="20" w:line="240" w:lineRule="auto"/>
            </w:pPr>
            <w:r/>
            <w:r>
              <w:rPr>
                <w:sz w:val="18"/>
              </w:rPr>
              <w:t>A transparent, rule-based late-order list from approved internal data</w:t>
            </w:r>
          </w:p>
        </w:tc>
        <w:tc>
          <w:tcPr>
            <w:tcW w:type="dxa" w:w="1944"/>
          </w:tcPr>
          <w:p>
            <w:pPr>
              <w:spacing w:after="20" w:line="240" w:lineRule="auto"/>
            </w:pPr>
            <w:r/>
            <w:r>
              <w:rPr>
                <w:sz w:val="18"/>
              </w:rPr>
              <w:t>Low: one owner, weekly review</w:t>
            </w:r>
          </w:p>
        </w:tc>
        <w:tc>
          <w:tcPr>
            <w:tcW w:type="dxa" w:w="2304"/>
          </w:tcPr>
          <w:p>
            <w:pPr>
              <w:spacing w:after="20" w:line="240" w:lineRule="auto"/>
            </w:pPr>
            <w:r/>
            <w:r>
              <w:rPr>
                <w:sz w:val="18"/>
              </w:rPr>
              <w:t>Visible rules; no red data</w:t>
            </w:r>
          </w:p>
        </w:tc>
      </w:tr>
      <w:tr>
        <w:trPr>
          <w:cantSplit w:val="true"/>
        </w:trPr>
        <w:tc>
          <w:tcPr>
            <w:tcW w:type="dxa" w:w="2088"/>
          </w:tcPr>
          <w:p>
            <w:pPr>
              <w:spacing w:after="20" w:line="240" w:lineRule="auto"/>
            </w:pPr>
            <w:r/>
            <w:r>
              <w:rPr>
                <w:sz w:val="18"/>
              </w:rPr>
              <w:t>Approved business AI tool</w:t>
            </w:r>
          </w:p>
        </w:tc>
        <w:tc>
          <w:tcPr>
            <w:tcW w:type="dxa" w:w="3024"/>
          </w:tcPr>
          <w:p>
            <w:pPr>
              <w:spacing w:after="20" w:line="240" w:lineRule="auto"/>
            </w:pPr>
            <w:r/>
            <w:r>
              <w:rPr>
                <w:sz w:val="18"/>
              </w:rPr>
              <w:t>Summaries, translations and drafts for office work</w:t>
            </w:r>
          </w:p>
        </w:tc>
        <w:tc>
          <w:tcPr>
            <w:tcW w:type="dxa" w:w="1944"/>
          </w:tcPr>
          <w:p>
            <w:pPr>
              <w:spacing w:after="20" w:line="240" w:lineRule="auto"/>
            </w:pPr>
            <w:r/>
            <w:r>
              <w:rPr>
                <w:sz w:val="18"/>
              </w:rPr>
              <w:t>Price unavailable: compare business plans</w:t>
            </w:r>
          </w:p>
        </w:tc>
        <w:tc>
          <w:tcPr>
            <w:tcW w:type="dxa" w:w="2304"/>
          </w:tcPr>
          <w:p>
            <w:pPr>
              <w:spacing w:after="20" w:line="240" w:lineRule="auto"/>
            </w:pPr>
            <w:r/>
            <w:r>
              <w:rPr>
                <w:sz w:val="18"/>
              </w:rPr>
              <w:t>A business version with a data agreement; only green data</w:t>
            </w:r>
          </w:p>
        </w:tc>
      </w:tr>
      <w:tr>
        <w:trPr>
          <w:cantSplit w:val="true"/>
        </w:trPr>
        <w:tc>
          <w:tcPr>
            <w:tcW w:type="dxa" w:w="2088"/>
          </w:tcPr>
          <w:p>
            <w:pPr>
              <w:spacing w:after="20" w:line="240" w:lineRule="auto"/>
            </w:pPr>
            <w:r/>
            <w:r>
              <w:rPr>
                <w:sz w:val="18"/>
              </w:rPr>
              <w:t>Vendor planning tool (trial)</w:t>
            </w:r>
          </w:p>
        </w:tc>
        <w:tc>
          <w:tcPr>
            <w:tcW w:type="dxa" w:w="3024"/>
          </w:tcPr>
          <w:p>
            <w:pPr>
              <w:spacing w:after="20" w:line="240" w:lineRule="auto"/>
            </w:pPr>
            <w:r/>
            <w:r>
              <w:rPr>
                <w:sz w:val="18"/>
              </w:rPr>
              <w:t>A specialist planning tool, tested on one narrow case</w:t>
            </w:r>
          </w:p>
        </w:tc>
        <w:tc>
          <w:tcPr>
            <w:tcW w:type="dxa" w:w="1944"/>
          </w:tcPr>
          <w:p>
            <w:pPr>
              <w:spacing w:after="20" w:line="240" w:lineRule="auto"/>
            </w:pPr>
            <w:r/>
            <w:r>
              <w:rPr>
                <w:sz w:val="18"/>
              </w:rPr>
              <w:t>Higher: ask for a quote and trial terms</w:t>
            </w:r>
          </w:p>
        </w:tc>
        <w:tc>
          <w:tcPr>
            <w:tcW w:type="dxa" w:w="2304"/>
          </w:tcPr>
          <w:p>
            <w:pPr>
              <w:spacing w:after="20" w:line="240" w:lineRule="auto"/>
            </w:pPr>
            <w:r/>
            <w:r>
              <w:rPr>
                <w:sz w:val="18"/>
              </w:rPr>
              <w:t>Check EU processing, export rights, training use and human approval first (see the geopolitics chapter)</w:t>
            </w:r>
          </w:p>
        </w:tc>
      </w:tr>
    </w:tbl>
    <w:p>
      <w:pPr>
        <w:spacing w:after="40" w:line="192" w:lineRule="auto"/>
      </w:pPr>
    </w:p>
    <w:p>
      <w:pPr>
        <w:pStyle w:val="Heading1"/>
      </w:pPr>
      <w:r>
        <w:t>Responsible AI &amp; trust</w:t>
      </w:r>
    </w:p>
    <w:p>
      <w:pPr>
        <w:pStyle w:val="ListBullet"/>
      </w:pPr>
      <w:r>
        <w:rPr>
          <w:b/>
        </w:rPr>
        <w:t>Data and GDPR:</w:t>
      </w:r>
      <w:r>
        <w:t xml:space="preserve"> classify data first and use as little as possible. Get a written data-processing agreement from any vendor that handles personal data, and never treat a marketing statement as proof.</w:t>
      </w:r>
    </w:p>
    <w:p>
      <w:pPr>
        <w:pStyle w:val="ListBullet"/>
      </w:pPr>
      <w:r>
        <w:rPr>
          <w:b/>
        </w:rPr>
        <w:t>Reliability:</w:t>
      </w:r>
      <w:r>
        <w:t xml:space="preserve"> test recommendations against past cases and the planner’s judgement. A tool that cannot show why it flagged an order may not be the only basis for a decision.</w:t>
      </w:r>
    </w:p>
    <w:p>
      <w:pPr>
        <w:pStyle w:val="ListBullet"/>
      </w:pPr>
      <w:r>
        <w:rPr>
          <w:b/>
        </w:rPr>
        <w:t>Human in the loop:</w:t>
      </w:r>
      <w:r>
        <w:t xml:space="preserve"> a named person approves every amber decision. AI never changes machine settings, safety functions, delivery promises or anything about staff on its own.</w:t>
      </w:r>
    </w:p>
    <w:p>
      <w:pPr>
        <w:pStyle w:val="ListBullet"/>
      </w:pPr>
      <w:r>
        <w:rPr>
          <w:b/>
        </w:rPr>
        <w:t>Machines:</w:t>
      </w:r>
      <w:r>
        <w:t xml:space="preserve"> AI inside machine control or safety functions brings machinery rules and third-party assessment with it. Treat it as a separate, later project.</w:t>
      </w:r>
    </w:p>
    <w:p>
      <w:pPr>
        <w:pStyle w:val="ListBullet"/>
      </w:pPr>
      <w:r>
        <w:rPr>
          <w:b/>
        </w:rPr>
        <w:t>People:</w:t>
      </w:r>
      <w:r>
        <w:t xml:space="preserve"> explain that AI is there to support the work, not to monitor people. AI literacy means knowing when to stop and ask.</w:t>
      </w:r>
    </w:p>
    <w:p>
      <w:pPr>
        <w:pStyle w:val="ListBullet"/>
      </w:pPr>
      <w:r>
        <w:rPr>
          <w:b/>
        </w:rPr>
        <w:t>Rules:</w:t>
      </w:r>
      <w:r>
        <w:t xml:space="preserve"> exact duties depend on the use, the data and the vendor’s terms. This chapter is not legal advice; confirm the obligations before you deploy.</w:t>
      </w:r>
    </w:p>
    <w:p>
      <w:pPr>
        <w:pStyle w:val="Heading1"/>
      </w:pPr>
      <w:r>
        <w:t>First five steps for an owner</w:t>
      </w:r>
    </w:p>
    <w:p>
      <w:pPr>
        <w:pStyle w:val="ListNumber"/>
        <w:numPr>
          <w:ilvl w:val="0"/>
          <w:numId w:val="10"/>
        </w:numPr>
      </w:pPr>
      <w:r>
        <w:rPr>
          <w:b/>
        </w:rPr>
        <w:t>Make a one-page data map</w:t>
      </w:r>
      <w:r>
        <w:t xml:space="preserve"> (owner + office manager): mark drawings, customer data, planning data, machine data and staff data as green, amber or red.</w:t>
      </w:r>
    </w:p>
    <w:p>
      <w:pPr>
        <w:pStyle w:val="ListNumber"/>
        <w:numPr>
          <w:ilvl w:val="0"/>
          <w:numId w:val="10"/>
        </w:numPr>
      </w:pPr>
      <w:r>
        <w:rPr>
          <w:b/>
        </w:rPr>
        <w:t>Publish a one-page AI rule for staff</w:t>
      </w:r>
      <w:r>
        <w:t xml:space="preserve"> (owner): approved tools, forbidden data, when to mention AI use, who to ask, and how to report an accidental upload, since the AP may need to be told.</w:t>
      </w:r>
    </w:p>
    <w:p>
      <w:pPr>
        <w:pStyle w:val="ListNumber"/>
        <w:numPr>
          <w:ilvl w:val="0"/>
          <w:numId w:val="10"/>
        </w:numPr>
      </w:pPr>
      <w:r>
        <w:rPr>
          <w:b/>
        </w:rPr>
        <w:t>Choose one amber use case</w:t>
      </w:r>
      <w:r>
        <w:t xml:space="preserve"> where AI only advises (owner + planner). Name its owner, success measure, stop rule and end date.</w:t>
      </w:r>
    </w:p>
    <w:p>
      <w:pPr>
        <w:pStyle w:val="ListNumber"/>
        <w:numPr>
          <w:ilvl w:val="0"/>
          <w:numId w:val="10"/>
        </w:numPr>
      </w:pPr>
      <w:r>
        <w:rPr>
          <w:b/>
        </w:rPr>
        <w:t>Write two approval moments</w:t>
      </w:r>
      <w:r>
        <w:t xml:space="preserve"> (operations manager): for example, a planner approves every late-order flag before the plan changes.</w:t>
      </w:r>
    </w:p>
    <w:p>
      <w:pPr>
        <w:pStyle w:val="ListNumber"/>
        <w:numPr>
          <w:ilvl w:val="0"/>
          <w:numId w:val="10"/>
        </w:numPr>
      </w:pPr>
      <w:r>
        <w:rPr>
          <w:b/>
        </w:rPr>
        <w:t>Ask your machine-software supplier and your engineers one question</w:t>
      </w:r>
      <w:r>
        <w:t xml:space="preserve"> (owner): does any of our machine control use AI or self-learning functions now, or will it soon?</w:t>
      </w:r>
    </w:p>
    <w:p>
      <w:pPr>
        <w:pStyle w:val="Heading1"/>
      </w:pPr>
      <w:r>
        <w:t>Sources</w:t>
      </w:r>
    </w:p>
    <w:tbl>
      <w:tblPr>
        <w:tblStyle w:val="TableGrid"/>
        <w:tblW w:type="auto" w:w="0"/>
        <w:jc w:val="center"/>
        <w:tblLayout w:type="fixed"/>
        <w:tblLook w:firstColumn="1" w:firstRow="1" w:lastColumn="0" w:lastRow="0" w:noHBand="0" w:noVBand="1" w:val="04A0"/>
      </w:tblPr>
      <w:tblGrid>
        <w:gridCol w:w="503"/>
        <w:gridCol w:w="3024"/>
        <w:gridCol w:w="1872"/>
        <w:gridCol w:w="2088"/>
        <w:gridCol w:w="1872"/>
      </w:tblGrid>
      <w:tr>
        <w:trPr>
          <w:cantSplit w:val="true"/>
          <w:tblHeader w:val="true"/>
        </w:trPr>
        <w:tc>
          <w:tcPr>
            <w:tcW w:type="dxa" w:w="504"/>
            <w:shd w:val="clear" w:color="auto" w:fill="DCE6F0"/>
          </w:tcPr>
          <w:p>
            <w:pPr>
              <w:spacing w:after="20" w:line="240" w:lineRule="auto"/>
            </w:pPr>
            <w:r/>
            <w:r>
              <w:rPr>
                <w:b/>
                <w:sz w:val="15"/>
              </w:rPr>
              <w:t>ID</w:t>
            </w:r>
          </w:p>
        </w:tc>
        <w:tc>
          <w:tcPr>
            <w:tcW w:type="dxa" w:w="3024"/>
            <w:shd w:val="clear" w:color="auto" w:fill="DCE6F0"/>
          </w:tcPr>
          <w:p>
            <w:pPr>
              <w:spacing w:after="20" w:line="240" w:lineRule="auto"/>
            </w:pPr>
            <w:r/>
            <w:r>
              <w:rPr>
                <w:b/>
                <w:sz w:val="15"/>
              </w:rPr>
              <w:t>Source</w:t>
            </w:r>
          </w:p>
        </w:tc>
        <w:tc>
          <w:tcPr>
            <w:tcW w:type="dxa" w:w="1872"/>
            <w:shd w:val="clear" w:color="auto" w:fill="DCE6F0"/>
          </w:tcPr>
          <w:p>
            <w:pPr>
              <w:spacing w:after="20" w:line="240" w:lineRule="auto"/>
            </w:pPr>
            <w:r/>
            <w:r>
              <w:rPr>
                <w:b/>
                <w:sz w:val="15"/>
              </w:rPr>
              <w:t>Supports</w:t>
            </w:r>
          </w:p>
        </w:tc>
        <w:tc>
          <w:tcPr>
            <w:tcW w:type="dxa" w:w="2088"/>
            <w:shd w:val="clear" w:color="auto" w:fill="DCE6F0"/>
          </w:tcPr>
          <w:p>
            <w:pPr>
              <w:spacing w:after="20" w:line="240" w:lineRule="auto"/>
            </w:pPr>
            <w:r/>
            <w:r>
              <w:rPr>
                <w:b/>
                <w:sz w:val="15"/>
              </w:rPr>
              <w:t>Who says it, and why credible</w:t>
            </w:r>
          </w:p>
        </w:tc>
        <w:tc>
          <w:tcPr>
            <w:tcW w:type="dxa" w:w="1872"/>
            <w:shd w:val="clear" w:color="auto" w:fill="DCE6F0"/>
          </w:tcPr>
          <w:p>
            <w:pPr>
              <w:spacing w:after="20" w:line="240" w:lineRule="auto"/>
            </w:pPr>
            <w:r/>
            <w:r>
              <w:rPr>
                <w:b/>
                <w:sz w:val="15"/>
              </w:rPr>
              <w:t>Limitation</w:t>
            </w:r>
          </w:p>
        </w:tc>
      </w:tr>
      <w:tr>
        <w:trPr>
          <w:cantSplit w:val="true"/>
        </w:trPr>
        <w:tc>
          <w:tcPr>
            <w:tcW w:type="dxa" w:w="504"/>
          </w:tcPr>
          <w:p>
            <w:pPr>
              <w:spacing w:after="20" w:line="240" w:lineRule="auto"/>
            </w:pPr>
            <w:r/>
            <w:r>
              <w:rPr>
                <w:sz w:val="15"/>
              </w:rPr>
              <w:t>S1</w:t>
            </w:r>
          </w:p>
        </w:tc>
        <w:tc>
          <w:tcPr>
            <w:tcW w:type="dxa" w:w="3024"/>
          </w:tcPr>
          <w:p>
            <w:pPr>
              <w:spacing w:after="20" w:line="240" w:lineRule="auto"/>
            </w:pPr>
            <w:r/>
            <w:r>
              <w:rPr>
                <w:sz w:val="15"/>
              </w:rPr>
              <w:t xml:space="preserve">CBS (12 Dec 2025). </w:t>
            </w:r>
            <w:hyperlink r:id="rId9">
              <w:r>
                <w:rPr>
                  <w:color w:val="1F5C99"/>
                  <w:u w:val="single"/>
                  <w:sz w:val="15"/>
                </w:rPr>
                <w:t xml:space="preserve">Bedrijven gebruiken AI vaakst voor marketing of verkoop</w:t>
              </w:r>
            </w:hyperlink>
          </w:p>
        </w:tc>
        <w:tc>
          <w:tcPr>
            <w:tcW w:type="dxa" w:w="1872"/>
          </w:tcPr>
          <w:p>
            <w:pPr>
              <w:spacing w:after="20" w:line="240" w:lineRule="auto"/>
            </w:pPr>
            <w:r/>
            <w:r>
              <w:rPr>
                <w:sz w:val="15"/>
              </w:rPr>
              <w:t>Privacy 49%, legal 42%</w:t>
            </w:r>
          </w:p>
        </w:tc>
        <w:tc>
          <w:tcPr>
            <w:tcW w:type="dxa" w:w="2088"/>
          </w:tcPr>
          <w:p>
            <w:pPr>
              <w:spacing w:after="20" w:line="240" w:lineRule="auto"/>
            </w:pPr>
            <w:r/>
            <w:r>
              <w:rPr>
                <w:sz w:val="15"/>
              </w:rPr>
              <w:t>Statistics Netherlands</w:t>
            </w:r>
          </w:p>
        </w:tc>
        <w:tc>
          <w:tcPr>
            <w:tcW w:type="dxa" w:w="1872"/>
          </w:tcPr>
          <w:p>
            <w:pPr>
              <w:spacing w:after="20" w:line="240" w:lineRule="auto"/>
            </w:pPr>
            <w:r/>
            <w:r>
              <w:rPr>
                <w:sz w:val="15"/>
              </w:rPr>
              <w:t>Self-reported; all sectors; in Dutch</w:t>
            </w:r>
          </w:p>
        </w:tc>
      </w:tr>
      <w:tr>
        <w:trPr>
          <w:cantSplit w:val="true"/>
        </w:trPr>
        <w:tc>
          <w:tcPr>
            <w:tcW w:type="dxa" w:w="504"/>
          </w:tcPr>
          <w:p>
            <w:pPr>
              <w:spacing w:after="20" w:line="240" w:lineRule="auto"/>
            </w:pPr>
            <w:r/>
            <w:r>
              <w:rPr>
                <w:sz w:val="15"/>
              </w:rPr>
              <w:t>S2</w:t>
            </w:r>
          </w:p>
        </w:tc>
        <w:tc>
          <w:tcPr>
            <w:tcW w:type="dxa" w:w="3024"/>
          </w:tcPr>
          <w:p>
            <w:pPr>
              <w:spacing w:after="20" w:line="240" w:lineRule="auto"/>
            </w:pPr>
            <w:r/>
            <w:r>
              <w:rPr>
                <w:sz w:val="15"/>
              </w:rPr>
              <w:t xml:space="preserve">Autoriteit Persoonsgegevens. </w:t>
            </w:r>
            <w:hyperlink r:id="rId10">
              <w:r>
                <w:rPr>
                  <w:color w:val="1F5C99"/>
                  <w:u w:val="single"/>
                  <w:sz w:val="15"/>
                </w:rPr>
                <w:t xml:space="preserve">Let op: gebruik AI-chatbot kan leiden tot datalekken</w:t>
              </w:r>
            </w:hyperlink>
          </w:p>
        </w:tc>
        <w:tc>
          <w:tcPr>
            <w:tcW w:type="dxa" w:w="1872"/>
          </w:tcPr>
          <w:p>
            <w:pPr>
              <w:spacing w:after="20" w:line="240" w:lineRule="auto"/>
            </w:pPr>
            <w:r/>
            <w:r>
              <w:rPr>
                <w:sz w:val="15"/>
              </w:rPr>
              <w:t>Chatbot use as a data breach; reporting</w:t>
            </w:r>
          </w:p>
        </w:tc>
        <w:tc>
          <w:tcPr>
            <w:tcW w:type="dxa" w:w="2088"/>
          </w:tcPr>
          <w:p>
            <w:pPr>
              <w:spacing w:after="20" w:line="240" w:lineRule="auto"/>
            </w:pPr>
            <w:r/>
            <w:r>
              <w:rPr>
                <w:sz w:val="15"/>
              </w:rPr>
              <w:t>The Dutch data-protection regulator</w:t>
            </w:r>
          </w:p>
        </w:tc>
        <w:tc>
          <w:tcPr>
            <w:tcW w:type="dxa" w:w="1872"/>
          </w:tcPr>
          <w:p>
            <w:pPr>
              <w:spacing w:after="20" w:line="240" w:lineRule="auto"/>
            </w:pPr>
            <w:r/>
            <w:r>
              <w:rPr>
                <w:sz w:val="15"/>
              </w:rPr>
              <w:t>Guidance, not a ruling</w:t>
            </w:r>
          </w:p>
        </w:tc>
      </w:tr>
      <w:tr>
        <w:trPr>
          <w:cantSplit w:val="true"/>
        </w:trPr>
        <w:tc>
          <w:tcPr>
            <w:tcW w:type="dxa" w:w="504"/>
          </w:tcPr>
          <w:p>
            <w:pPr>
              <w:spacing w:after="20" w:line="240" w:lineRule="auto"/>
            </w:pPr>
            <w:r/>
            <w:r>
              <w:rPr>
                <w:sz w:val="15"/>
              </w:rPr>
              <w:t>S3</w:t>
            </w:r>
          </w:p>
        </w:tc>
        <w:tc>
          <w:tcPr>
            <w:tcW w:type="dxa" w:w="3024"/>
          </w:tcPr>
          <w:p>
            <w:pPr>
              <w:spacing w:after="20" w:line="240" w:lineRule="auto"/>
            </w:pPr>
            <w:r/>
            <w:r>
              <w:rPr>
                <w:sz w:val="15"/>
              </w:rPr>
              <w:t xml:space="preserve">ICT Magazine (30 Dec 2025). </w:t>
            </w:r>
            <w:hyperlink r:id="rId11">
              <w:r>
                <w:rPr>
                  <w:color w:val="1F5C99"/>
                  <w:u w:val="single"/>
                  <w:sz w:val="15"/>
                </w:rPr>
                <w:t xml:space="preserve">AP: meer datalekken door gratis chatbots</w:t>
              </w:r>
            </w:hyperlink>
          </w:p>
        </w:tc>
        <w:tc>
          <w:tcPr>
            <w:tcW w:type="dxa" w:w="1872"/>
          </w:tcPr>
          <w:p>
            <w:pPr>
              <w:spacing w:after="20" w:line="240" w:lineRule="auto"/>
            </w:pPr>
            <w:r/>
            <w:r>
              <w:rPr>
                <w:sz w:val="15"/>
              </w:rPr>
              <w:t>Dozens of breach reports in 2025</w:t>
            </w:r>
          </w:p>
        </w:tc>
        <w:tc>
          <w:tcPr>
            <w:tcW w:type="dxa" w:w="2088"/>
          </w:tcPr>
          <w:p>
            <w:pPr>
              <w:spacing w:after="20" w:line="240" w:lineRule="auto"/>
            </w:pPr>
            <w:r/>
            <w:r>
              <w:rPr>
                <w:sz w:val="15"/>
              </w:rPr>
              <w:t>Dutch trade press reporting the AP</w:t>
            </w:r>
          </w:p>
        </w:tc>
        <w:tc>
          <w:tcPr>
            <w:tcW w:type="dxa" w:w="1872"/>
          </w:tcPr>
          <w:p>
            <w:pPr>
              <w:spacing w:after="20" w:line="240" w:lineRule="auto"/>
            </w:pPr>
            <w:r/>
            <w:r>
              <w:rPr>
                <w:sz w:val="15"/>
              </w:rPr>
              <w:t>Secondary; in Dutch</w:t>
            </w:r>
          </w:p>
        </w:tc>
      </w:tr>
      <w:tr>
        <w:trPr>
          <w:cantSplit w:val="true"/>
        </w:trPr>
        <w:tc>
          <w:tcPr>
            <w:tcW w:type="dxa" w:w="504"/>
          </w:tcPr>
          <w:p>
            <w:pPr>
              <w:spacing w:after="20" w:line="240" w:lineRule="auto"/>
            </w:pPr>
            <w:r/>
            <w:r>
              <w:rPr>
                <w:sz w:val="15"/>
              </w:rPr>
              <w:t>S4</w:t>
            </w:r>
          </w:p>
        </w:tc>
        <w:tc>
          <w:tcPr>
            <w:tcW w:type="dxa" w:w="3024"/>
          </w:tcPr>
          <w:p>
            <w:pPr>
              <w:spacing w:after="20" w:line="240" w:lineRule="auto"/>
            </w:pPr>
            <w:r/>
            <w:r>
              <w:rPr>
                <w:sz w:val="15"/>
              </w:rPr>
              <w:t xml:space="preserve">OpenAI (updated 8 Jan 2026). </w:t>
            </w:r>
            <w:hyperlink r:id="rId12">
              <w:r>
                <w:rPr>
                  <w:color w:val="1F5C99"/>
                  <w:u w:val="single"/>
                  <w:sz w:val="15"/>
                </w:rPr>
                <w:t xml:space="preserve">Enterprise privacy</w:t>
              </w:r>
            </w:hyperlink>
          </w:p>
        </w:tc>
        <w:tc>
          <w:tcPr>
            <w:tcW w:type="dxa" w:w="1872"/>
          </w:tcPr>
          <w:p>
            <w:pPr>
              <w:spacing w:after="20" w:line="240" w:lineRule="auto"/>
            </w:pPr>
            <w:r/>
            <w:r>
              <w:rPr>
                <w:sz w:val="15"/>
              </w:rPr>
              <w:t>Business data not trained on by default</w:t>
            </w:r>
          </w:p>
        </w:tc>
        <w:tc>
          <w:tcPr>
            <w:tcW w:type="dxa" w:w="2088"/>
          </w:tcPr>
          <w:p>
            <w:pPr>
              <w:spacing w:after="20" w:line="240" w:lineRule="auto"/>
            </w:pPr>
            <w:r/>
            <w:r>
              <w:rPr>
                <w:sz w:val="15"/>
              </w:rPr>
              <w:t>The vendor’s own commitment</w:t>
            </w:r>
          </w:p>
        </w:tc>
        <w:tc>
          <w:tcPr>
            <w:tcW w:type="dxa" w:w="1872"/>
          </w:tcPr>
          <w:p>
            <w:pPr>
              <w:spacing w:after="20" w:line="240" w:lineRule="auto"/>
            </w:pPr>
            <w:r/>
            <w:r>
              <w:rPr>
                <w:sz w:val="15"/>
              </w:rPr>
              <w:t>Vendor claim; business products only</w:t>
            </w:r>
          </w:p>
        </w:tc>
      </w:tr>
      <w:tr>
        <w:trPr>
          <w:cantSplit w:val="true"/>
        </w:trPr>
        <w:tc>
          <w:tcPr>
            <w:tcW w:type="dxa" w:w="504"/>
          </w:tcPr>
          <w:p>
            <w:pPr>
              <w:spacing w:after="20" w:line="240" w:lineRule="auto"/>
            </w:pPr>
            <w:r/>
            <w:r>
              <w:rPr>
                <w:sz w:val="15"/>
              </w:rPr>
              <w:t>S5</w:t>
            </w:r>
          </w:p>
        </w:tc>
        <w:tc>
          <w:tcPr>
            <w:tcW w:type="dxa" w:w="3024"/>
          </w:tcPr>
          <w:p>
            <w:pPr>
              <w:spacing w:after="20" w:line="240" w:lineRule="auto"/>
            </w:pPr>
            <w:r/>
            <w:r>
              <w:rPr>
                <w:sz w:val="15"/>
              </w:rPr>
              <w:t xml:space="preserve">Regulation (EU) 2024/1689 (AI Act), </w:t>
            </w:r>
            <w:hyperlink r:id="rId13">
              <w:r>
                <w:rPr>
                  <w:color w:val="1F5C99"/>
                  <w:u w:val="single"/>
                  <w:sz w:val="15"/>
                </w:rPr>
                <w:t xml:space="preserve">EUR-Lex</w:t>
              </w:r>
            </w:hyperlink>
            <w:r>
              <w:rPr>
                <w:sz w:val="15"/>
              </w:rPr>
              <w:t>: Art. 4, Art. 5(1)(f), Annex III(4)</w:t>
            </w:r>
          </w:p>
        </w:tc>
        <w:tc>
          <w:tcPr>
            <w:tcW w:type="dxa" w:w="1872"/>
          </w:tcPr>
          <w:p>
            <w:pPr>
              <w:spacing w:after="20" w:line="240" w:lineRule="auto"/>
            </w:pPr>
            <w:r/>
            <w:r>
              <w:rPr>
                <w:sz w:val="15"/>
              </w:rPr>
              <w:t>Emotion recognition ban; staff management as high-risk; AI literacy</w:t>
            </w:r>
          </w:p>
        </w:tc>
        <w:tc>
          <w:tcPr>
            <w:tcW w:type="dxa" w:w="2088"/>
          </w:tcPr>
          <w:p>
            <w:pPr>
              <w:spacing w:after="20" w:line="240" w:lineRule="auto"/>
            </w:pPr>
            <w:r/>
            <w:r>
              <w:rPr>
                <w:sz w:val="15"/>
              </w:rPr>
              <w:t>Primary EU law</w:t>
            </w:r>
          </w:p>
        </w:tc>
        <w:tc>
          <w:tcPr>
            <w:tcW w:type="dxa" w:w="1872"/>
          </w:tcPr>
          <w:p>
            <w:pPr>
              <w:spacing w:after="20" w:line="240" w:lineRule="auto"/>
            </w:pPr>
            <w:r/>
            <w:r>
              <w:rPr>
                <w:sz w:val="15"/>
              </w:rPr>
              <w:t>Amended in 2026 (S6)</w:t>
            </w:r>
          </w:p>
        </w:tc>
      </w:tr>
      <w:tr>
        <w:trPr>
          <w:cantSplit w:val="true"/>
        </w:trPr>
        <w:tc>
          <w:tcPr>
            <w:tcW w:type="dxa" w:w="504"/>
          </w:tcPr>
          <w:p>
            <w:pPr>
              <w:spacing w:after="20" w:line="240" w:lineRule="auto"/>
            </w:pPr>
            <w:r/>
            <w:r>
              <w:rPr>
                <w:sz w:val="15"/>
              </w:rPr>
              <w:t>S6</w:t>
            </w:r>
          </w:p>
        </w:tc>
        <w:tc>
          <w:tcPr>
            <w:tcW w:type="dxa" w:w="3024"/>
          </w:tcPr>
          <w:p>
            <w:pPr>
              <w:spacing w:after="20" w:line="240" w:lineRule="auto"/>
            </w:pPr>
            <w:r/>
            <w:r>
              <w:rPr>
                <w:sz w:val="15"/>
              </w:rPr>
              <w:t xml:space="preserve">White &amp; Case (Jul 2026). </w:t>
            </w:r>
            <w:hyperlink r:id="rId14">
              <w:r>
                <w:rPr>
                  <w:color w:val="1F5C99"/>
                  <w:u w:val="single"/>
                  <w:sz w:val="15"/>
                </w:rPr>
                <w:t xml:space="preserve">EU AI Omnibus enters into force</w:t>
              </w:r>
            </w:hyperlink>
          </w:p>
        </w:tc>
        <w:tc>
          <w:tcPr>
            <w:tcW w:type="dxa" w:w="1872"/>
          </w:tcPr>
          <w:p>
            <w:pPr>
              <w:spacing w:after="20" w:line="240" w:lineRule="auto"/>
            </w:pPr>
            <w:r/>
            <w:r>
              <w:rPr>
                <w:sz w:val="15"/>
              </w:rPr>
              <w:t>New dates; Art. 4 softened</w:t>
            </w:r>
          </w:p>
        </w:tc>
        <w:tc>
          <w:tcPr>
            <w:tcW w:type="dxa" w:w="2088"/>
          </w:tcPr>
          <w:p>
            <w:pPr>
              <w:spacing w:after="20" w:line="240" w:lineRule="auto"/>
            </w:pPr>
            <w:r/>
            <w:r>
              <w:rPr>
                <w:sz w:val="15"/>
              </w:rPr>
              <w:t>Law firm summarising Regulation (EU) 2026/1744</w:t>
            </w:r>
          </w:p>
        </w:tc>
        <w:tc>
          <w:tcPr>
            <w:tcW w:type="dxa" w:w="1872"/>
          </w:tcPr>
          <w:p>
            <w:pPr>
              <w:spacing w:after="20" w:line="240" w:lineRule="auto"/>
            </w:pPr>
            <w:r/>
            <w:r>
              <w:rPr>
                <w:sz w:val="15"/>
              </w:rPr>
              <w:t>Secondary; check the Official Journal</w:t>
            </w:r>
          </w:p>
        </w:tc>
      </w:tr>
      <w:tr>
        <w:trPr>
          <w:cantSplit w:val="true"/>
        </w:trPr>
        <w:tc>
          <w:tcPr>
            <w:tcW w:type="dxa" w:w="504"/>
          </w:tcPr>
          <w:p>
            <w:pPr>
              <w:spacing w:after="20" w:line="240" w:lineRule="auto"/>
            </w:pPr>
            <w:r/>
            <w:r>
              <w:rPr>
                <w:sz w:val="15"/>
              </w:rPr>
              <w:t>S7</w:t>
            </w:r>
          </w:p>
        </w:tc>
        <w:tc>
          <w:tcPr>
            <w:tcW w:type="dxa" w:w="3024"/>
          </w:tcPr>
          <w:p>
            <w:pPr>
              <w:spacing w:after="20" w:line="240" w:lineRule="auto"/>
            </w:pPr>
            <w:r/>
            <w:r>
              <w:rPr>
                <w:sz w:val="15"/>
              </w:rPr>
              <w:t xml:space="preserve">Baker McKenzie. </w:t>
            </w:r>
            <w:hyperlink r:id="rId15">
              <w:r>
                <w:rPr>
                  <w:color w:val="1F5C99"/>
                  <w:u w:val="single"/>
                  <w:sz w:val="15"/>
                </w:rPr>
                <w:t xml:space="preserve">Machinery Regulation</w:t>
              </w:r>
            </w:hyperlink>
          </w:p>
        </w:tc>
        <w:tc>
          <w:tcPr>
            <w:tcW w:type="dxa" w:w="1872"/>
          </w:tcPr>
          <w:p>
            <w:pPr>
              <w:spacing w:after="20" w:line="240" w:lineRule="auto"/>
            </w:pPr>
            <w:r/>
            <w:r>
              <w:rPr>
                <w:sz w:val="15"/>
              </w:rPr>
              <w:t>Self-learning safety functions: high-risk, third-party assessment; applies 20 Jan 2027</w:t>
            </w:r>
          </w:p>
        </w:tc>
        <w:tc>
          <w:tcPr>
            <w:tcW w:type="dxa" w:w="2088"/>
          </w:tcPr>
          <w:p>
            <w:pPr>
              <w:spacing w:after="20" w:line="240" w:lineRule="auto"/>
            </w:pPr>
            <w:r/>
            <w:r>
              <w:rPr>
                <w:sz w:val="15"/>
              </w:rPr>
              <w:t>International law firm on product regulation</w:t>
            </w:r>
          </w:p>
        </w:tc>
        <w:tc>
          <w:tcPr>
            <w:tcW w:type="dxa" w:w="1872"/>
          </w:tcPr>
          <w:p>
            <w:pPr>
              <w:spacing w:after="20" w:line="240" w:lineRule="auto"/>
            </w:pPr>
            <w:r/>
            <w:r>
              <w:rPr>
                <w:sz w:val="15"/>
              </w:rPr>
              <w:t>Secondary; legal text is (EU) 2023/1230</w:t>
            </w:r>
          </w:p>
        </w:tc>
      </w:tr>
      <w:tr>
        <w:trPr>
          <w:cantSplit w:val="true"/>
        </w:trPr>
        <w:tc>
          <w:tcPr>
            <w:tcW w:type="dxa" w:w="504"/>
          </w:tcPr>
          <w:p>
            <w:pPr>
              <w:spacing w:after="20" w:line="240" w:lineRule="auto"/>
            </w:pPr>
            <w:r/>
            <w:r>
              <w:rPr>
                <w:sz w:val="15"/>
              </w:rPr>
              <w:t>S8</w:t>
            </w:r>
          </w:p>
        </w:tc>
        <w:tc>
          <w:tcPr>
            <w:tcW w:type="dxa" w:w="3024"/>
          </w:tcPr>
          <w:p>
            <w:pPr>
              <w:spacing w:after="20" w:line="240" w:lineRule="auto"/>
            </w:pPr>
            <w:r/>
            <w:r>
              <w:rPr>
                <w:sz w:val="15"/>
              </w:rPr>
              <w:t xml:space="preserve">EU-OSHA. </w:t>
            </w:r>
            <w:hyperlink r:id="rId16">
              <w:r>
                <w:rPr>
                  <w:color w:val="1F5C99"/>
                  <w:u w:val="single"/>
                  <w:sz w:val="15"/>
                </w:rPr>
                <w:t xml:space="preserve">Regulation 2023/1230/EU – machinery</w:t>
              </w:r>
            </w:hyperlink>
          </w:p>
        </w:tc>
        <w:tc>
          <w:tcPr>
            <w:tcW w:type="dxa" w:w="1872"/>
          </w:tcPr>
          <w:p>
            <w:pPr>
              <w:spacing w:after="20" w:line="240" w:lineRule="auto"/>
            </w:pPr>
            <w:r/>
            <w:r>
              <w:rPr>
                <w:sz w:val="15"/>
              </w:rPr>
              <w:t>Application date; AI in safety functions</w:t>
            </w:r>
          </w:p>
        </w:tc>
        <w:tc>
          <w:tcPr>
            <w:tcW w:type="dxa" w:w="2088"/>
          </w:tcPr>
          <w:p>
            <w:pPr>
              <w:spacing w:after="20" w:line="240" w:lineRule="auto"/>
            </w:pPr>
            <w:r/>
            <w:r>
              <w:rPr>
                <w:sz w:val="15"/>
              </w:rPr>
              <w:t>EU safety and health agency</w:t>
            </w:r>
          </w:p>
        </w:tc>
        <w:tc>
          <w:tcPr>
            <w:tcW w:type="dxa" w:w="1872"/>
          </w:tcPr>
          <w:p>
            <w:pPr>
              <w:spacing w:after="20" w:line="240" w:lineRule="auto"/>
            </w:pPr>
            <w:r/>
            <w:r>
              <w:rPr>
                <w:sz w:val="15"/>
              </w:rPr>
              <w:t>Summary page</w:t>
            </w:r>
          </w:p>
        </w:tc>
      </w:tr>
      <w:tr>
        <w:trPr>
          <w:cantSplit w:val="true"/>
        </w:trPr>
        <w:tc>
          <w:tcPr>
            <w:tcW w:type="dxa" w:w="504"/>
          </w:tcPr>
          <w:p>
            <w:pPr>
              <w:spacing w:after="20" w:line="240" w:lineRule="auto"/>
            </w:pPr>
            <w:r/>
            <w:r>
              <w:rPr>
                <w:sz w:val="15"/>
              </w:rPr>
              <w:t>S9</w:t>
            </w:r>
          </w:p>
        </w:tc>
        <w:tc>
          <w:tcPr>
            <w:tcW w:type="dxa" w:w="3024"/>
          </w:tcPr>
          <w:p>
            <w:pPr>
              <w:spacing w:after="20" w:line="240" w:lineRule="auto"/>
            </w:pPr>
            <w:r/>
            <w:r>
              <w:rPr>
                <w:sz w:val="15"/>
              </w:rPr>
              <w:t xml:space="preserve">Microsoft &amp; LinkedIn (8 May 2024). </w:t>
            </w:r>
            <w:hyperlink r:id="rId17">
              <w:r>
                <w:rPr>
                  <w:color w:val="1F5C99"/>
                  <w:u w:val="single"/>
                  <w:sz w:val="15"/>
                </w:rPr>
                <w:t xml:space="preserve">2024 Work Trend Index</w:t>
              </w:r>
            </w:hyperlink>
          </w:p>
        </w:tc>
        <w:tc>
          <w:tcPr>
            <w:tcW w:type="dxa" w:w="1872"/>
          </w:tcPr>
          <w:p>
            <w:pPr>
              <w:spacing w:after="20" w:line="240" w:lineRule="auto"/>
            </w:pPr>
            <w:r/>
            <w:r>
              <w:rPr>
                <w:sz w:val="15"/>
              </w:rPr>
              <w:t>75% use AI; 78% bring their own</w:t>
            </w:r>
          </w:p>
        </w:tc>
        <w:tc>
          <w:tcPr>
            <w:tcW w:type="dxa" w:w="2088"/>
          </w:tcPr>
          <w:p>
            <w:pPr>
              <w:spacing w:after="20" w:line="240" w:lineRule="auto"/>
            </w:pPr>
            <w:r/>
            <w:r>
              <w:rPr>
                <w:sz w:val="15"/>
              </w:rPr>
              <w:t>Large survey (31,000 people, 31 countries)</w:t>
            </w:r>
          </w:p>
        </w:tc>
        <w:tc>
          <w:tcPr>
            <w:tcW w:type="dxa" w:w="1872"/>
          </w:tcPr>
          <w:p>
            <w:pPr>
              <w:spacing w:after="20" w:line="240" w:lineRule="auto"/>
            </w:pPr>
            <w:r/>
            <w:r>
              <w:rPr>
                <w:sz w:val="15"/>
              </w:rPr>
              <w:t>A vendor with an interest; office workers</w:t>
            </w:r>
          </w:p>
        </w:tc>
      </w:tr>
    </w:tbl>
    <w:p>
      <w:pPr>
        <w:spacing w:after="40" w:line="192" w:lineRule="auto"/>
      </w:pPr>
    </w:p>
    <w:p>
      <w:pPr>
        <w:pStyle w:val="Heading1"/>
      </w:pPr>
      <w:r>
        <w:t>What our platform drafted, and what we checked</w:t>
      </w:r>
    </w:p>
    <w:p>
      <w:r>
        <w:t xml:space="preserve">This chapter was drafted with our Handbook Assistant (Claude), which searched for and read the sources above, proposed the claims, and wrote the first draft from the claims we accepted. The team checked every claim against its source: </w:t>
      </w:r>
      <w:r>
        <w:rPr>
          <w:highlight w:val="yellow"/>
        </w:rPr>
        <w:t>[initials, date]</w:t>
      </w:r>
      <w:r>
        <w:t xml:space="preserve">. The Dutch sources (S1–S3) were checked by </w:t>
      </w:r>
      <w:r>
        <w:rPr>
          <w:highlight w:val="yellow"/>
        </w:rPr>
        <w:t>[Dutch-reading member, date]</w:t>
      </w:r>
      <w:r>
        <w:t xml:space="preserve">. An outside reader checked the chapter for jargon: </w:t>
      </w:r>
      <w:r>
        <w:rPr>
          <w:highlight w:val="yellow"/>
        </w:rPr>
        <w:t>[name, date]</w:t>
      </w:r>
      <w:r>
        <w:t>.</w:t>
      </w:r>
    </w:p>
    <w:p>
      <w:r>
        <w:rPr>
          <w:i/>
          <w:sz w:val="18"/>
        </w:rPr>
        <w:t>Educational, not consultancy.</w:t>
      </w:r>
      <w:r>
        <w:rPr>
          <w:sz w:val="18"/>
        </w:rPr>
        <w:t xml:space="preserve"> This chapter offers research-based starting points, not legal, commercial or safety guarantees; decisions remain the company’s own. No real company is described; company information is used only with consent.</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bs.nl/nl-nl/nieuws/2025/50/bedrijven-gebruiken-ai-vaakst-voor-marketing-of-verkoop" TargetMode="External"/><Relationship Id="rId10" Type="http://schemas.openxmlformats.org/officeDocument/2006/relationships/hyperlink" Target="https://www.autoriteitpersoonsgegevens.nl/en/current/caution-use-of-ai-chatbot-may-lead-to-data-breaches" TargetMode="External"/><Relationship Id="rId11" Type="http://schemas.openxmlformats.org/officeDocument/2006/relationships/hyperlink" Target="https://www.ictmagazine.nl/nieuws/autoriteit-persoonsgegevens-meer-datalekken-door-ongeoorloofd-gebruik-gratis-chatbots/" TargetMode="External"/><Relationship Id="rId12" Type="http://schemas.openxmlformats.org/officeDocument/2006/relationships/hyperlink" Target="https://openai.com/enterprise-privacy/" TargetMode="External"/><Relationship Id="rId13" Type="http://schemas.openxmlformats.org/officeDocument/2006/relationships/hyperlink" Target="https://eur-lex.europa.eu/eli/reg/2024/1689/oj" TargetMode="External"/><Relationship Id="rId14" Type="http://schemas.openxmlformats.org/officeDocument/2006/relationships/hyperlink" Target="https://www.whitecase.com/insight-alert/eu-ai-omnibus-enters-force-amending-ai-act" TargetMode="External"/><Relationship Id="rId15" Type="http://schemas.openxmlformats.org/officeDocument/2006/relationships/hyperlink" Target="https://www.bakermckenzie.com/en/insight/publications/resources/product-risk-radar-articles/machinery-regulation" TargetMode="External"/><Relationship Id="rId16" Type="http://schemas.openxmlformats.org/officeDocument/2006/relationships/hyperlink" Target="https://osha.europa.eu/en/legislation/directive/regulation-20231230eu-machinery" TargetMode="External"/><Relationship Id="rId17" Type="http://schemas.openxmlformats.org/officeDocument/2006/relationships/hyperlink" Target="https://blogs.microsoft.com/blog/2024/05/08/microsoft-and-linkedin-release-the-2024-work-trend-index-on-the-state-of-ai-a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 08</dc:creator>
  <cp:keywords/>
  <dc:description>generated by python-docx</dc:description>
  <cp:lastModifiedBy/>
  <cp:revision>1</cp:revision>
  <dcterms:created xsi:type="dcterms:W3CDTF">2013-12-23T23:15:00Z</dcterms:created>
  <dcterms:modified xsi:type="dcterms:W3CDTF">2013-12-23T23:15:00Z</dcterms:modified>
  <cp:category/>
</cp:coreProperties>
</file>