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1AE5" w14:textId="77777777" w:rsidR="008C3231" w:rsidRDefault="00652BD4">
      <w:pPr>
        <w:pStyle w:val="Title"/>
        <w:jc w:val="center"/>
      </w:pPr>
      <w:r>
        <w:t>AIBS — Research Proposal (Updated)</w:t>
      </w:r>
    </w:p>
    <w:p w14:paraId="23189CA8" w14:textId="77777777" w:rsidR="008C3231" w:rsidRDefault="00652BD4">
      <w:r>
        <w:t>AI-Assisted Production Reliability for Regional Precision Manufacturers</w:t>
      </w:r>
    </w:p>
    <w:p w14:paraId="39AEAEB4" w14:textId="4FF81E18" w:rsidR="008C3231" w:rsidRDefault="00652BD4" w:rsidP="00A72F04">
      <w:r>
        <w:t>Team 08 | Version 2.1 | 23 September 2026</w:t>
      </w:r>
    </w:p>
    <w:p w14:paraId="7D70FBBE" w14:textId="77777777" w:rsidR="008C3231" w:rsidRDefault="00652BD4">
      <w:pPr>
        <w:pStyle w:val="Heading1"/>
      </w:pPr>
      <w:r>
        <w:t>1. Target audience and decision</w:t>
      </w:r>
    </w:p>
    <w:p w14:paraId="72769C62" w14:textId="77777777" w:rsidR="008C3231" w:rsidRDefault="00652BD4">
      <w:r>
        <w:t>This handbook is for family-owned or independently managed precision manufacturers in the Achterhoek and Liemers, approximately 50–150 employees, serving international customers, with limited dedicated data or planning capacity. The named partner candidate is Giesen Coffee Roasters (Giesen Roasting Solutions since 2025), a manufacturer of professional coffee-roasting machines in Ulft/Dinxperlo, Gelderland. Public descriptions place the company at approximately 100–150 employees and indicate international sa</w:t>
      </w:r>
      <w:r>
        <w:t>les. These company-specific details remain to be verified against an authoritative public source or authorised company evidence.</w:t>
      </w:r>
    </w:p>
    <w:p w14:paraId="4B5A5F40" w14:textId="77777777" w:rsidR="008C3231" w:rsidRDefault="008C3231"/>
    <w:p w14:paraId="6504F9A2" w14:textId="77777777" w:rsidR="008C3231" w:rsidRDefault="00652BD4">
      <w:r>
        <w:t>The handbook supports this decision:</w:t>
      </w:r>
    </w:p>
    <w:p w14:paraId="0AE99E76" w14:textId="77777777" w:rsidR="008C3231" w:rsidRDefault="00652BD4">
      <w:pPr>
        <w:pStyle w:val="IntenseQuote"/>
      </w:pPr>
      <w:r>
        <w:t>What is a realistic, safe and affordable first step for a regional precision manufacturer of this size that wants to use AI-assisted tools to improve production lead-time reliability without immediately hiring a dedicated data or planning specialist?</w:t>
      </w:r>
    </w:p>
    <w:p w14:paraId="387317C8" w14:textId="77777777" w:rsidR="008C3231" w:rsidRDefault="00652BD4">
      <w:pPr>
        <w:pStyle w:val="Heading1"/>
      </w:pPr>
      <w:r>
        <w:t>2. What these SMEs need to know</w:t>
      </w:r>
    </w:p>
    <w:p w14:paraId="32642960" w14:textId="77777777" w:rsidR="008C3231" w:rsidRDefault="00652BD4">
      <w:r>
        <w:t>Draghi's report identifies technology diffusion, skills shortages, limited scale, regulatory complexity and access to capital as barriers to European competitiveness. For a regional manufacturer, the practical question is not whether AI is important in general. It is whether a specific operational problem is suitable for AI, whether the firm has the data and governance to try it, and whether the expected benefit justifies the cost and dependency.</w:t>
      </w:r>
    </w:p>
    <w:p w14:paraId="479419EC" w14:textId="77777777" w:rsidR="008C3231" w:rsidRDefault="008C3231"/>
    <w:p w14:paraId="17B3489B" w14:textId="77777777" w:rsidR="008C3231" w:rsidRDefault="00652BD4">
      <w:r>
        <w:t>The handbook therefore needs to help an owner or operations lead decide:</w:t>
      </w:r>
    </w:p>
    <w:p w14:paraId="53F51BED" w14:textId="77777777" w:rsidR="008C3231" w:rsidRDefault="00652BD4">
      <w:pPr>
        <w:pStyle w:val="ListBullet"/>
      </w:pPr>
      <w:r>
        <w:t>Which production-reliability problem should be investigated first.</w:t>
      </w:r>
    </w:p>
    <w:p w14:paraId="7D3D4715" w14:textId="77777777" w:rsidR="008C3231" w:rsidRDefault="00652BD4">
      <w:pPr>
        <w:pStyle w:val="ListBullet"/>
      </w:pPr>
      <w:r>
        <w:t>Whether the available data, processes and staff capabilities are sufficient for a small pilot.</w:t>
      </w:r>
    </w:p>
    <w:p w14:paraId="32DCF7BA" w14:textId="77777777" w:rsidR="008C3231" w:rsidRDefault="00652BD4">
      <w:pPr>
        <w:pStyle w:val="ListBullet"/>
      </w:pPr>
      <w:r>
        <w:t>What tool and vendor dependencies would be created, including data location, lock-in and ongoing cost.</w:t>
      </w:r>
    </w:p>
    <w:p w14:paraId="6218613A" w14:textId="77777777" w:rsidR="008C3231" w:rsidRDefault="00652BD4">
      <w:pPr>
        <w:pStyle w:val="ListBullet"/>
      </w:pPr>
      <w:r>
        <w:t>What human oversight, documentation, AI literacy, privacy and safety controls are needed.</w:t>
      </w:r>
    </w:p>
    <w:p w14:paraId="5C56D2EC" w14:textId="77777777" w:rsidR="008C3231" w:rsidRDefault="00652BD4">
      <w:pPr>
        <w:pStyle w:val="ListBullet"/>
      </w:pPr>
      <w:r>
        <w:t>How to run a reversible, low-risk discovery or pilot before making a larger commitment.</w:t>
      </w:r>
    </w:p>
    <w:p w14:paraId="09E6944F" w14:textId="77777777" w:rsidR="008C3231" w:rsidRDefault="00652BD4">
      <w:pPr>
        <w:pStyle w:val="Heading1"/>
      </w:pPr>
      <w:r>
        <w:lastRenderedPageBreak/>
        <w:t>3. Research question</w:t>
      </w:r>
    </w:p>
    <w:p w14:paraId="6DD455BE" w14:textId="77777777" w:rsidR="008C3231" w:rsidRDefault="00652BD4">
      <w:r>
        <w:t>Main question</w:t>
      </w:r>
    </w:p>
    <w:p w14:paraId="05EA38F6" w14:textId="77777777" w:rsidR="008C3231" w:rsidRDefault="00652BD4">
      <w:pPr>
        <w:pStyle w:val="IntenseQuote"/>
      </w:pPr>
      <w:r>
        <w:t>For a family-owned or independently managed precision manufacturer in the Achterhoek/Liemers with approximately 50–150 employees, what is a realistic, safe and affordable first step toward AI-assisted production-lead-time reliability without a dedicated data or planning specialist?</w:t>
      </w:r>
    </w:p>
    <w:p w14:paraId="0597EE3E" w14:textId="77777777" w:rsidR="008C3231" w:rsidRDefault="00652BD4">
      <w:pPr>
        <w:pStyle w:val="Heading2"/>
      </w:pPr>
      <w:r>
        <w:t>External sub-questions</w:t>
      </w:r>
    </w:p>
    <w:p w14:paraId="309B6ED5" w14:textId="77777777" w:rsidR="008C3231" w:rsidRDefault="00652BD4">
      <w:pPr>
        <w:pStyle w:val="ListNumber"/>
      </w:pPr>
      <w:r>
        <w:t>1. Which production-reliability problems and AI-assisted use cases are relevant to precision manufacturers of this size, and what evidence exists that they can improve lead-time reliability?</w:t>
      </w:r>
    </w:p>
    <w:p w14:paraId="55F79E98" w14:textId="77777777" w:rsidR="008C3231" w:rsidRDefault="00652BD4">
      <w:pPr>
        <w:pStyle w:val="ListNumber"/>
      </w:pPr>
      <w:r>
        <w:t>2. Which vendor, data-governance, cost, regulatory and geopolitical risks should an SME assess before selecting an AI-assisted production tool?</w:t>
      </w:r>
    </w:p>
    <w:p w14:paraId="178C166C" w14:textId="77777777" w:rsidR="008C3231" w:rsidRDefault="00652BD4">
      <w:pPr>
        <w:pStyle w:val="ListNumber"/>
      </w:pPr>
      <w:r>
        <w:t>3. Which AI-assisted production-reliability or predictive-quality use cases have demonstrated payback at this scale? (Theme 5)</w:t>
      </w:r>
    </w:p>
    <w:p w14:paraId="7444E19B" w14:textId="77777777" w:rsidR="008C3231" w:rsidRDefault="00652BD4">
      <w:pPr>
        <w:pStyle w:val="ListNumber"/>
      </w:pPr>
      <w:r>
        <w:t>4. What distinguishes SME digital-twin adoptions that stuck from those abandoned once fieldlab funding ended? (Theme 6)</w:t>
      </w:r>
    </w:p>
    <w:p w14:paraId="118FF63E" w14:textId="77777777" w:rsidR="008C3231" w:rsidRDefault="00652BD4">
      <w:pPr>
        <w:pStyle w:val="Heading2"/>
      </w:pPr>
      <w:r>
        <w:t>Internal sub-questions</w:t>
      </w:r>
    </w:p>
    <w:p w14:paraId="5AE6509C" w14:textId="77777777" w:rsidR="008C3231" w:rsidRDefault="00652BD4">
      <w:pPr>
        <w:pStyle w:val="ListNumber"/>
      </w:pPr>
      <w:r>
        <w:t>1. What information should an SME collect about its current process, data quality, skills, ownership and decision rights before deciding whether an AI pilot is feasible?</w:t>
      </w:r>
    </w:p>
    <w:p w14:paraId="50AF5154" w14:textId="77777777" w:rsidR="008C3231" w:rsidRDefault="00652BD4">
      <w:pPr>
        <w:pStyle w:val="ListNumber"/>
      </w:pPr>
      <w:r>
        <w:t>2. What minimum safeguards should the SME put in place before AI is allowed to advise on or act in production-related workflows, including data classification, human approval, logging, AI literacy and incident handling?</w:t>
      </w:r>
    </w:p>
    <w:p w14:paraId="70CFE97E" w14:textId="77777777" w:rsidR="008C3231" w:rsidRDefault="00652BD4">
      <w:r>
        <w:t>Optional case-enrichment question</w:t>
      </w:r>
    </w:p>
    <w:p w14:paraId="733D68C7" w14:textId="77777777" w:rsidR="008C3231" w:rsidRDefault="00652BD4">
      <w:pPr>
        <w:pStyle w:val="ListBullet"/>
      </w:pPr>
      <w:r>
        <w:t>If Giesen is approved and grants consent, what does its current production-reliability process reveal about bottlenecks, available data, existing tools, decision rights and a suitable first discovery step?</w:t>
      </w:r>
    </w:p>
    <w:p w14:paraId="15E98A9D" w14:textId="77777777" w:rsidR="008C3231" w:rsidRDefault="008C3231"/>
    <w:p w14:paraId="3B77674D" w14:textId="5DC1DE6C" w:rsidR="008C3231" w:rsidRDefault="00652BD4">
      <w:r>
        <w:t xml:space="preserve">Questions 1–4 are the publication foundation and can be answered through desk research and comparable cases. The optional case-enrichment question adds company-specific context. If the interview </w:t>
      </w:r>
      <w:r>
        <w:t>produces weak evidence, the answer will be recorded as unknown rather than inferred, and the handbook will still be completed for the archetype.</w:t>
      </w:r>
    </w:p>
    <w:p w14:paraId="6EC2CCA3" w14:textId="77777777" w:rsidR="008C3231" w:rsidRDefault="00652BD4">
      <w:pPr>
        <w:pStyle w:val="Heading1"/>
      </w:pPr>
      <w:r>
        <w:t>4. Quality criteria</w:t>
      </w:r>
    </w:p>
    <w:p w14:paraId="423176FC" w14:textId="77777777" w:rsidR="008C3231" w:rsidRDefault="00652BD4">
      <w:r>
        <w:t>Each published page must pass all applicable checks:</w:t>
      </w:r>
    </w:p>
    <w:p w14:paraId="7EAE7F6E" w14:textId="77777777" w:rsidR="008C3231" w:rsidRDefault="00652BD4">
      <w:pPr>
        <w:pStyle w:val="ListBullet"/>
      </w:pPr>
      <w:r>
        <w:lastRenderedPageBreak/>
        <w:t>Decision usefulness: it ends with at least three concrete actions an owner can take within 30 days.</w:t>
      </w:r>
    </w:p>
    <w:p w14:paraId="075B8FA8" w14:textId="77777777" w:rsidR="008C3231" w:rsidRDefault="00652BD4">
      <w:pPr>
        <w:pStyle w:val="ListBullet"/>
      </w:pPr>
      <w:r>
        <w:t>Coverage: it answers the relevant external and internal-archetype sub-question and states any unresolved case-specific question.</w:t>
      </w:r>
    </w:p>
    <w:p w14:paraId="5EA2DAB3" w14:textId="77777777" w:rsidR="008C3231" w:rsidRDefault="00652BD4">
      <w:pPr>
        <w:pStyle w:val="ListBullet"/>
      </w:pPr>
      <w:r>
        <w:t>Traceability: every externally verifiable factual claim has a source ID, publisher, date and exact supporting passage or page.</w:t>
      </w:r>
    </w:p>
    <w:p w14:paraId="28ACE77C" w14:textId="77777777" w:rsidR="008C3231" w:rsidRDefault="00652BD4">
      <w:pPr>
        <w:pStyle w:val="ListBullet"/>
      </w:pPr>
      <w:r>
        <w:t>Appraisal: each core source has an authority, relevance and limitation note; key legal, statistical and cost claims use an authoritative source.</w:t>
      </w:r>
    </w:p>
    <w:p w14:paraId="0C394D74" w14:textId="77777777" w:rsidR="008C3231" w:rsidRDefault="00652BD4">
      <w:pPr>
        <w:pStyle w:val="ListBullet"/>
      </w:pPr>
      <w:r>
        <w:t>Uncertainty: claims are labelled as public evidence, interview evidence, comparable-case evidence, interpretation or unknown.</w:t>
      </w:r>
    </w:p>
    <w:p w14:paraId="0D5D009C" w14:textId="77777777" w:rsidR="008C3231" w:rsidRDefault="00652BD4">
      <w:pPr>
        <w:pStyle w:val="ListBullet"/>
      </w:pPr>
      <w:r>
        <w:t>Responsible AI: the page addresses data leaving the firm, permitted AI action, human approval, staff disclosure and incident response where relevant.</w:t>
      </w:r>
    </w:p>
    <w:p w14:paraId="43ED0D41" w14:textId="77777777" w:rsidR="008C3231" w:rsidRDefault="00652BD4">
      <w:pPr>
        <w:pStyle w:val="ListBullet"/>
      </w:pPr>
      <w:r>
        <w:t>Practicality: recommendations identify expected effort, dependencies, risks and a reversible next step; prices are marked as published, quoted, estimated or unavailable.</w:t>
      </w:r>
    </w:p>
    <w:p w14:paraId="7822535F" w14:textId="77777777" w:rsidR="008C3231" w:rsidRDefault="00652BD4">
      <w:pPr>
        <w:pStyle w:val="ListBullet"/>
      </w:pPr>
      <w:r>
        <w:t>Accessibility: a non-specialist owner can understand the page; one person outside the team tests it for unexplained terms.</w:t>
      </w:r>
    </w:p>
    <w:p w14:paraId="57E55EC5" w14:textId="77777777" w:rsidR="008C3231" w:rsidRDefault="00652BD4">
      <w:pPr>
        <w:pStyle w:val="ListBullet"/>
      </w:pPr>
      <w:r>
        <w:t>AI transparency: the page records what AI drafted or translated and what the team checked manually.</w:t>
      </w:r>
    </w:p>
    <w:p w14:paraId="15717DC4" w14:textId="77777777" w:rsidR="008C3231" w:rsidRDefault="008C3231"/>
    <w:p w14:paraId="3DF285A5" w14:textId="77777777" w:rsidR="008C3231" w:rsidRDefault="00652BD4">
      <w:r>
        <w:t>A page is not publishable if it contains an uncited material claim, an unlabelled company-specific assertion, a legal recommendation based only on a secondary summary, or a recommendation without an identified owner action.</w:t>
      </w:r>
    </w:p>
    <w:p w14:paraId="1BFDE2AF" w14:textId="77777777" w:rsidR="008C3231" w:rsidRDefault="00652BD4">
      <w:pPr>
        <w:pStyle w:val="Heading1"/>
      </w:pPr>
      <w:r>
        <w:t>5. Methodology</w:t>
      </w:r>
    </w:p>
    <w:p w14:paraId="75EE21F2" w14:textId="77777777" w:rsidR="008C3231" w:rsidRDefault="00652BD4">
      <w:r>
        <w:t>Desk research is the primary method for all core questions. We will search official statistics and regulations, recognised sector organisations, HAN publications, peer-reviewed or reputable applied research, vendor documentation, and documented comparable SME cases. Dutch sources will be retained in Dutch and translated into English for the team; the original passage remains the evidence of record. Search queries, inclusion decisions and source appraisals will be logged.</w:t>
      </w:r>
    </w:p>
    <w:p w14:paraId="4B9940F7" w14:textId="77777777" w:rsidR="008C3231" w:rsidRDefault="008C3231"/>
    <w:p w14:paraId="515E2DE7" w14:textId="77777777" w:rsidR="008C3231" w:rsidRDefault="00652BD4">
      <w:r>
        <w:t>Search strategies now explicitly include:</w:t>
      </w:r>
    </w:p>
    <w:p w14:paraId="2513DF85" w14:textId="77777777" w:rsidR="008C3231" w:rsidRDefault="00652BD4">
      <w:pPr>
        <w:pStyle w:val="ListBullet"/>
      </w:pPr>
      <w:r>
        <w:t>English queries on AI adoption, digital twins, vendor landscape and regulation.</w:t>
      </w:r>
    </w:p>
    <w:p w14:paraId="0672BAAD" w14:textId="77777777" w:rsidR="008C3231" w:rsidRDefault="00652BD4">
      <w:pPr>
        <w:pStyle w:val="ListBullet"/>
      </w:pPr>
      <w:r>
        <w:t>Dutch queries on digital twins, AI in production, and SME manufacturing in the Netherlands.</w:t>
      </w:r>
    </w:p>
    <w:p w14:paraId="7A702BA7" w14:textId="77777777" w:rsidR="008C3231" w:rsidRDefault="00652BD4">
      <w:pPr>
        <w:pStyle w:val="ListBullet"/>
      </w:pPr>
      <w:r>
        <w:t>Targeted queries for Theme 5 (use cases with payback) and Theme 6 (adoptions that stuck).</w:t>
      </w:r>
    </w:p>
    <w:p w14:paraId="3C479756" w14:textId="77777777" w:rsidR="008C3231" w:rsidRDefault="00652BD4">
      <w:pPr>
        <w:pStyle w:val="ListBullet"/>
      </w:pPr>
      <w:r>
        <w:t>Preference for primary sources at search time (regulators, official stats, vendor docs, standards) and at scoring time (higher Authority for primary sources).</w:t>
      </w:r>
    </w:p>
    <w:p w14:paraId="218586DA" w14:textId="77777777" w:rsidR="008C3231" w:rsidRDefault="008C3231"/>
    <w:p w14:paraId="1A930D0C" w14:textId="77777777" w:rsidR="008C3231" w:rsidRDefault="00652BD4">
      <w:r>
        <w:lastRenderedPageBreak/>
        <w:t>For internal-archetype questions, desk research will examine common production bottlenecks, data requirements, SME capability frameworks, governance practices and comparable cases. It will not be used to claim that a particular issue exists at Giesen.</w:t>
      </w:r>
    </w:p>
    <w:p w14:paraId="16685383" w14:textId="77777777" w:rsidR="008C3231" w:rsidRDefault="008C3231"/>
    <w:p w14:paraId="3B588D60" w14:textId="77777777" w:rsidR="008C3231" w:rsidRDefault="00652BD4">
      <w:r>
        <w:t>Field research consists of one consented visit or interview during weeks 2–4 if Giesen is approved. It will ask about current processes, bottlenecks, data availability, tools, roles and decision rights. It is validation and contextualisation, not the foundation of the research. Weak, missing or contradictory interview evidence will be labelled accordingly; it will not be converted into fact.</w:t>
      </w:r>
    </w:p>
    <w:p w14:paraId="4F346BF9" w14:textId="77777777" w:rsidR="008C3231" w:rsidRDefault="008C3231"/>
    <w:p w14:paraId="291F0FF7" w14:textId="77777777" w:rsidR="008C3231" w:rsidRDefault="00652BD4">
      <w:r>
        <w:t>The fallback route is to publish for the regional precision-manufacturer archetype using desk research, comparable cases and an explicit evidence-limit statement. No company contact occurs before consent and anonymisation terms are approved. Confidential, personal or commercially sensitive interview material is not sent to a free-tier or unapproved external AI service.</w:t>
      </w:r>
    </w:p>
    <w:p w14:paraId="6CD35995" w14:textId="3DD88968" w:rsidR="008C3231" w:rsidRDefault="008C3231"/>
    <w:sectPr w:rsidR="008C32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880206">
    <w:abstractNumId w:val="8"/>
  </w:num>
  <w:num w:numId="2" w16cid:durableId="1602565125">
    <w:abstractNumId w:val="6"/>
  </w:num>
  <w:num w:numId="3" w16cid:durableId="129442830">
    <w:abstractNumId w:val="5"/>
  </w:num>
  <w:num w:numId="4" w16cid:durableId="933710234">
    <w:abstractNumId w:val="4"/>
  </w:num>
  <w:num w:numId="5" w16cid:durableId="723332461">
    <w:abstractNumId w:val="7"/>
  </w:num>
  <w:num w:numId="6" w16cid:durableId="611867015">
    <w:abstractNumId w:val="3"/>
  </w:num>
  <w:num w:numId="7" w16cid:durableId="1444230889">
    <w:abstractNumId w:val="2"/>
  </w:num>
  <w:num w:numId="8" w16cid:durableId="731730512">
    <w:abstractNumId w:val="1"/>
  </w:num>
  <w:num w:numId="9" w16cid:durableId="120109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71"/>
    <w:rsid w:val="00326F90"/>
    <w:rsid w:val="00652BD4"/>
    <w:rsid w:val="008C3231"/>
    <w:rsid w:val="00A72F04"/>
    <w:rsid w:val="00AA1D8D"/>
    <w:rsid w:val="00B47730"/>
    <w:rsid w:val="00CB0664"/>
    <w:rsid w:val="00DF038B"/>
    <w:rsid w:val="00FA0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Ouarib (student)</cp:lastModifiedBy>
  <cp:revision>4</cp:revision>
  <dcterms:created xsi:type="dcterms:W3CDTF">2013-12-23T23:15:00Z</dcterms:created>
  <dcterms:modified xsi:type="dcterms:W3CDTF">2026-09-23T13:40:00Z</dcterms:modified>
  <cp:category/>
</cp:coreProperties>
</file>