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2 — Geopolitics and Vendor Models</w:t>
      </w:r>
    </w:p>
    <w:p/>
    <w:p>
      <w:r>
        <w:t>Theme: Who builds the AI systems a regional SME would use, who owns those firms, where they sit, and what changes for that SME if the arrangement shifts.</w:t>
      </w:r>
    </w:p>
    <w:p/>
    <w:p>
      <w:r>
        <w:t>Target reader: Owner or operations lead at a regional precision manufacturer (50–150 staff) in the Achterhoek/Liemers, considering AI-assisted production-reliability tools.</w:t>
      </w:r>
    </w:p>
    <w:p/>
    <w:p>
      <w:pPr>
        <w:pStyle w:val="Heading1"/>
      </w:pPr>
      <w:r>
        <w:t>1. Why this matters for you</w:t>
      </w:r>
    </w:p>
    <w:p>
      <w:r>
        <w:t>You are not buying "AI" in the abstract. You are buying a tool built and operated by specific companies, running on specific infrastructure, under specific rules. If those companies change their pricing, terms, data location or service levels, your production process can be affected even if your own factory never changes.</w:t>
      </w:r>
    </w:p>
    <w:p/>
    <w:p>
      <w:r>
        <w:t>This page answers three questions:</w:t>
      </w:r>
    </w:p>
    <w:p>
      <w:pPr>
        <w:pStyle w:val="ListNumber"/>
      </w:pPr>
      <w:r>
        <w:t>Where do the relevant AI and digital-twin capabilities come from, and who owns them?</w:t>
      </w:r>
    </w:p>
    <w:p>
      <w:pPr>
        <w:pStyle w:val="ListNumber"/>
      </w:pPr>
      <w:r>
        <w:t>What geopolitical, regulatory and vendor risks should you care about as a regional SME?</w:t>
      </w:r>
    </w:p>
    <w:p>
      <w:pPr>
        <w:pStyle w:val="ListNumber"/>
      </w:pPr>
      <w:r>
        <w:t>What can you do in the next 30 days to reduce those risks before committing to a tool?</w:t>
      </w:r>
    </w:p>
    <w:p>
      <w:pPr>
        <w:pStyle w:val="Heading1"/>
      </w:pPr>
      <w:r>
        <w:t>2. Where the tools come from</w:t>
      </w:r>
    </w:p>
    <w:p>
      <w:pPr>
        <w:pStyle w:val="Heading2"/>
      </w:pPr>
      <w:r>
        <w:t>2.1 Types of tools relevant to production reliability</w:t>
      </w:r>
    </w:p>
    <w:p>
      <w:r>
        <w:t>For a precision manufacturer, "AI-assisted production reliability" typically means one or more of:</w:t>
      </w:r>
    </w:p>
    <w:p>
      <w:pPr>
        <w:pStyle w:val="ListBullet"/>
      </w:pPr>
      <w:r>
        <w:t>Planning and scheduling tools that use statistical models or machine learning to suggest start times, sequences and resource allocation.</w:t>
      </w:r>
    </w:p>
    <w:p>
      <w:pPr>
        <w:pStyle w:val="ListBullet"/>
      </w:pPr>
      <w:r>
        <w:t>Predictive-quality or predictive-maintenance tools that use sensor data and historical records to forecast defects or failures.</w:t>
      </w:r>
    </w:p>
    <w:p>
      <w:pPr>
        <w:pStyle w:val="ListBullet"/>
      </w:pPr>
      <w:r>
        <w:t>Digital-twin environments that simulate parts of your production process and test "what-if" scenarios.</w:t>
      </w:r>
    </w:p>
    <w:p>
      <w:pPr>
        <w:pStyle w:val="ListBullet"/>
      </w:pPr>
      <w:r>
        <w:t>Assistant-style tools (often based on large language models) that help engineers and planners search documentation, write reports or generate simple analyses.</w:t>
      </w:r>
    </w:p>
    <w:p/>
    <w:p>
      <w:r>
        <w:t>These capabilities rarely come as one monolithic "AI system". They are embedded in software you may already use (ERP, MES, CMMS, planning tools) or offered as add-on modules by specialised vendors.</w:t>
      </w:r>
    </w:p>
    <w:p>
      <w:pPr>
        <w:pStyle w:val="Heading2"/>
      </w:pPr>
      <w:r>
        <w:t>2.2 Who builds and operates them</w:t>
      </w:r>
    </w:p>
    <w:p>
      <w:r>
        <w:t>Most tools in this space fall into one of these patterns:</w:t>
      </w:r>
    </w:p>
    <w:p>
      <w:pPr>
        <w:pStyle w:val="ListBullet"/>
      </w:pPr>
      <w:r>
        <w:t>Large hyperscalers (US and some Chinese firms) that provide foundational models and cloud infrastructure, often via APIs or as part of broader cloud suites.</w:t>
      </w:r>
    </w:p>
    <w:p>
      <w:pPr>
        <w:pStyle w:val="ListBullet"/>
      </w:pPr>
      <w:r>
        <w:t>EU or US industrial-software vendors that sell planning, MES, digital-twin or predictive-maintenance platforms, sometimes running on hyperscaler infrastructure.</w:t>
      </w:r>
    </w:p>
    <w:p>
      <w:pPr>
        <w:pStyle w:val="ListBullet"/>
      </w:pPr>
      <w:r>
        <w:t>Specialised AI startups (often EU-based) that focus on one niche, such as predictive quality for discrete manufacturing, and may rely on third-party cloud or models.</w:t>
      </w:r>
    </w:p>
    <w:p>
      <w:pPr>
        <w:pStyle w:val="ListBullet"/>
      </w:pPr>
      <w:r>
        <w:t>Local integrators that configure and customise these tools for SMEs, often acting as your main contact while the underlying technology comes from larger vendors.</w:t>
      </w:r>
    </w:p>
    <w:p/>
    <w:p>
      <w:r>
        <w:t>For a regional SME, the practical implication is that even if you contract with a local or EU-based vendor, your tool may still depend on US or Chinese infrastructure or models underneath.</w:t>
      </w:r>
    </w:p>
    <w:p>
      <w:pPr>
        <w:pStyle w:val="Heading1"/>
      </w:pPr>
      <w:r>
        <w:t>3. What changes for the SME if the arrangement shifts</w:t>
      </w:r>
    </w:p>
    <w:p>
      <w:pPr>
        <w:pStyle w:val="Heading2"/>
      </w:pPr>
      <w:r>
        <w:t>3.1 Geopolitical and regulatory risks that matter</w:t>
      </w:r>
    </w:p>
    <w:p>
      <w:r>
        <w:t>You do not need to follow every headline. The risks that can directly affect you are:</w:t>
      </w:r>
    </w:p>
    <w:p>
      <w:pPr>
        <w:pStyle w:val="ListBullet"/>
      </w:pPr>
      <w:r>
        <w:t>Data location and sovereignty: If your production data is stored or processed outside the EU, you may face additional contractual, privacy or customer-audit requirements. A change in data-location policy by your vendor can force you to renegotiate or migrate.</w:t>
      </w:r>
    </w:p>
    <w:p>
      <w:pPr>
        <w:pStyle w:val="ListBullet"/>
      </w:pPr>
      <w:r>
        <w:t>Export controls and compute constraints: Advanced AI capabilities can be affected by export restrictions or hardware shortages. A vendor may change which features are available in the EU, or delay new functionality.</w:t>
      </w:r>
    </w:p>
    <w:p>
      <w:pPr>
        <w:pStyle w:val="ListBullet"/>
      </w:pPr>
      <w:r>
        <w:t>Pricing and licensing shifts: Vendors with strong market positions can change subscription terms, bundle products differently or increase prices. If your process becomes dependent on one tool, switching costs rise over time.</w:t>
      </w:r>
    </w:p>
    <w:p>
      <w:pPr>
        <w:pStyle w:val="ListBullet"/>
      </w:pPr>
      <w:r>
        <w:t>Regulatory obligations: The EU AI Act, GDPR and the Data Act create obligations for deployers of AI systems. Some production-related AI tools may be treated as higher-risk, requiring more documentation, logging and human oversight. A vendor's classification of its own tool can change your compliance workload.</w:t>
      </w:r>
    </w:p>
    <w:p/>
    <w:p>
      <w:r>
        <w:t>These are not abstract "geopolitical" issues; they show up as contract clauses, data-processing addenda, new compliance checklists and unexpected price changes.</w:t>
      </w:r>
    </w:p>
    <w:p>
      <w:pPr>
        <w:pStyle w:val="Heading2"/>
      </w:pPr>
      <w:r>
        <w:t>3.2 Vendor lock-in and dependency</w:t>
      </w:r>
    </w:p>
    <w:p>
      <w:r>
        <w:t>Lock-in is not only technical. It is also:</w:t>
      </w:r>
    </w:p>
    <w:p>
      <w:pPr>
        <w:pStyle w:val="ListBullet"/>
      </w:pPr>
      <w:r>
        <w:t>Data lock-in: Your historical production, quality and maintenance data live in the vendor's format and platform.</w:t>
      </w:r>
    </w:p>
    <w:p>
      <w:pPr>
        <w:pStyle w:val="ListBullet"/>
      </w:pPr>
      <w:r>
        <w:t>Process lock-in: Your planners and engineers build routines around the tool's interfaces and assumptions.</w:t>
      </w:r>
    </w:p>
    <w:p>
      <w:pPr>
        <w:pStyle w:val="ListBullet"/>
      </w:pPr>
      <w:r>
        <w:t>Contractual lock-in: Long-term contracts, bundled discounts or custom integrations make switching expensive.</w:t>
      </w:r>
    </w:p>
    <w:p/>
    <w:p>
      <w:r>
        <w:t>If the vendor changes strategy, is acquired, or discontinues a product line, you may face a forced migration while your production process depends on continuity.</w:t>
      </w:r>
    </w:p>
    <w:p>
      <w:pPr>
        <w:pStyle w:val="Heading1"/>
      </w:pPr>
      <w:r>
        <w:t>4. What you should do in the next 30 days</w:t>
      </w:r>
    </w:p>
    <w:p>
      <w:r>
        <w:t>You cannot eliminate geopolitical risk, but you can reduce your exposure before committing.</w:t>
      </w:r>
    </w:p>
    <w:p/>
    <w:p>
      <w:r>
        <w:t>Action 1 — Map your real dependencies</w:t>
      </w:r>
    </w:p>
    <w:p>
      <w:pPr>
        <w:pStyle w:val="ListBullet"/>
      </w:pPr>
      <w:r>
        <w:t>List the vendor, the product, and whether it uses external AI models or cloud infrastructure.</w:t>
      </w:r>
    </w:p>
    <w:p>
      <w:pPr>
        <w:pStyle w:val="ListBullet"/>
      </w:pPr>
      <w:r>
        <w:t>Ask the vendor: where is our data stored and processed? Which subprocessors are involved? Is any production data used to train models?</w:t>
      </w:r>
    </w:p>
    <w:p>
      <w:pPr>
        <w:pStyle w:val="ListBullet"/>
      </w:pPr>
      <w:r>
        <w:t>Record the answers in a simple internal register. This becomes your "vendor map".</w:t>
      </w:r>
    </w:p>
    <w:p/>
    <w:p>
      <w:r>
        <w:t>Action 2 — Treat data location and model use as contract terms</w:t>
      </w:r>
    </w:p>
    <w:p>
      <w:pPr>
        <w:pStyle w:val="ListBullet"/>
      </w:pPr>
      <w:r>
        <w:t>Require written confirmation of data location, subprocessors and model usage.</w:t>
      </w:r>
    </w:p>
    <w:p>
      <w:pPr>
        <w:pStyle w:val="ListBullet"/>
      </w:pPr>
      <w:r>
        <w:t>Prefer vendors that offer EU data residency or clear data-processing agreements.</w:t>
      </w:r>
    </w:p>
    <w:p>
      <w:pPr>
        <w:pStyle w:val="ListBullet"/>
      </w:pPr>
      <w:r>
        <w:t>Avoid tools that silently route production data through unspecified third-party models.</w:t>
      </w:r>
    </w:p>
    <w:p/>
    <w:p>
      <w:r>
        <w:t>Action 3 — Design for reversibility</w:t>
      </w:r>
    </w:p>
    <w:p>
      <w:pPr>
        <w:pStyle w:val="ListBullet"/>
      </w:pPr>
      <w:r>
        <w:t>Define a small, reversible pilot: limited scope, clear success criteria, and an exit path.</w:t>
      </w:r>
    </w:p>
    <w:p>
      <w:pPr>
        <w:pStyle w:val="ListBullet"/>
      </w:pPr>
      <w:r>
        <w:t>Ensure you can export your data in a standard format.</w:t>
      </w:r>
    </w:p>
    <w:p>
      <w:pPr>
        <w:pStyle w:val="ListBullet"/>
      </w:pPr>
      <w:r>
        <w:t>Keep a parallel manual or non-AI process running during the pilot so production does not depend on the new tool immediately.</w:t>
      </w:r>
    </w:p>
    <w:p/>
    <w:p>
      <w:r>
        <w:t>Action 4 — Include geopolitical and vendor risk in your decision</w:t>
      </w:r>
    </w:p>
    <w:p>
      <w:pPr>
        <w:pStyle w:val="ListBullet"/>
      </w:pPr>
      <w:r>
        <w:t>Vendor resilience: financial stability, product roadmap clarity, customer base, and whether the tool is core or experimental for the vendor.</w:t>
      </w:r>
    </w:p>
    <w:p>
      <w:pPr>
        <w:pStyle w:val="ListBullet"/>
      </w:pPr>
      <w:r>
        <w:t>Geopolitical exposure: data location, dependency on non-EU infrastructure or models, and how the vendor handles regulatory changes.</w:t>
      </w:r>
    </w:p>
    <w:p/>
    <w:p>
      <w:r>
        <w:t>Score these alongside functionality and price. A slightly weaker tool with lower dependency risk may be the safer choice for a small manufacturer.</w:t>
      </w:r>
    </w:p>
    <w:p>
      <w:pPr>
        <w:pStyle w:val="Heading1"/>
      </w:pPr>
      <w:r>
        <w:t>5. What this means for a Giesen-like manufacturer</w:t>
      </w:r>
    </w:p>
    <w:p>
      <w:r>
        <w:t>For a precision manufacturer such as Giesen, the practical implications are:</w:t>
      </w:r>
    </w:p>
    <w:p>
      <w:pPr>
        <w:pStyle w:val="ListBullet"/>
      </w:pPr>
      <w:r>
        <w:t>Any AI-assisted planning or digital-twin tool will likely sit on top of existing ERP/MES and may depend on external cloud and models.</w:t>
      </w:r>
    </w:p>
    <w:p>
      <w:pPr>
        <w:pStyle w:val="ListBullet"/>
      </w:pPr>
      <w:r>
        <w:t>The company should treat data location, model usage and vendor stability as first-order criteria, not afterthoughts.</w:t>
      </w:r>
    </w:p>
    <w:p>
      <w:pPr>
        <w:pStyle w:val="ListBullet"/>
      </w:pPr>
      <w:r>
        <w:t>A small, reversible pilot that tests both technical fit and vendor behaviour is more appropriate than a large, multi-year commitment at the outset.</w:t>
      </w:r>
    </w:p>
    <w:p/>
    <w:p>
      <w:r>
        <w:t>The goal is not to avoid all foreign technology. It is to understand where you are dependent, what could change, and how much pain a change would cause.</w:t>
      </w:r>
    </w:p>
    <w:p>
      <w:pPr>
        <w:pStyle w:val="Heading1"/>
      </w:pPr>
      <w:r>
        <w:t>6. Evidence and limitations</w:t>
      </w:r>
    </w:p>
    <w:p>
      <w:r>
        <w:t>This page is based on publicly available information about AI and industrial software markets, EU regulatory texts and general SME adoption patterns. It does not claim to describe Giesen's specific tools or contracts, which remain unverified without authorised company evidence. Vendor names and market structures change; treat this as a living overview, not a final map.</w:t>
      </w:r>
    </w:p>
    <w:p/>
    <w:p>
      <w:r>
        <w:t>AI use note: This page was drafted with assistance from an AI language model for structure and wording. All claims, examples and recommendations were checked and edited by the research team. Sources are cited at the claim level in the underlying evidence 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