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Theme 3 — Can I trust AI with my data, its answers and my people?</w:t>
      </w:r>
    </w:p>
    <w:p/>
    <w:p>
      <w:pPr>
        <w:pStyle w:val="IntenseQuote"/>
      </w:pPr>
      <w:r>
        <w:t>Team 08 · 2026 cohort · Version 1.0 · SME: regional precision-manufacturer archetype; Giesen Coffee Roasters only if consent is confirmed · Sources last appraised: [insert date]</w:t>
      </w:r>
    </w:p>
    <w:p/>
    <w:p>
      <w:pPr>
        <w:pStyle w:val="IntenseQuote"/>
      </w:pPr>
      <w:r>
        <w:t>This chapter helps an owner decide what information may be used with AI, when AI may advise rather than act, and how to make staff use visible and safe.</w:t>
      </w:r>
    </w:p>
    <w:p>
      <w:pPr>
        <w:pStyle w:val="Heading1"/>
      </w:pPr>
      <w:r>
        <w:t>The question, for this kind of SME</w:t>
      </w:r>
    </w:p>
    <w:p>
      <w:r>
        <w:t>For a family-owned or independently managed precision manufacturer in the Achterhoek/Liemers with approximately 50–150 employees and no dedicated data team: can we trust an AI tool with production-related information and recommendations without creating a data, safety or people problem?</w:t>
      </w:r>
    </w:p>
    <w:p>
      <w:pPr>
        <w:pStyle w:val="Heading1"/>
      </w:pPr>
      <w:r>
        <w:t>The translation</w:t>
      </w:r>
    </w:p>
    <w:p>
      <w:r>
        <w:t>Do not decide whether “AI is safe” in general. Decide three practical things for each proposed use: what data is allowed to leave the firm; whether the tool may only advise or may trigger an action; and whether staff can say openly when they use it. Start with a bounded, reversible use case and keep a named person accountable for every operational decision.</w:t>
      </w:r>
    </w:p>
    <w:p>
      <w:pPr>
        <w:pStyle w:val="Heading2"/>
      </w:pPr>
      <w:r>
        <w:t>Data rule: what may leave the firm?</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Category</w:t>
            </w:r>
          </w:p>
        </w:tc>
        <w:tc>
          <w:tcPr>
            <w:tcW w:type="dxa" w:w="2880"/>
          </w:tcPr>
          <w:p>
            <w:r>
              <w:rPr>
                <w:b/>
              </w:rPr>
              <w:t>Examples</w:t>
            </w:r>
          </w:p>
        </w:tc>
        <w:tc>
          <w:tcPr>
            <w:tcW w:type="dxa" w:w="2880"/>
          </w:tcPr>
          <w:p>
            <w:r>
              <w:rPr>
                <w:b/>
              </w:rPr>
              <w:t>Rule</w:t>
            </w:r>
          </w:p>
        </w:tc>
      </w:tr>
      <w:tr>
        <w:tc>
          <w:tcPr>
            <w:tcW w:type="dxa" w:w="2880"/>
          </w:tcPr>
          <w:p>
            <w:r>
              <w:t>Green — low sensitivity</w:t>
            </w:r>
          </w:p>
        </w:tc>
        <w:tc>
          <w:tcPr>
            <w:tcW w:type="dxa" w:w="2880"/>
          </w:tcPr>
          <w:p>
            <w:r>
              <w:t>Public manuals, published specifications, anonymised example problems</w:t>
            </w:r>
          </w:p>
        </w:tc>
        <w:tc>
          <w:tcPr>
            <w:tcW w:type="dxa" w:w="2880"/>
          </w:tcPr>
          <w:p>
            <w:r>
              <w:t>May be used in an approved tool after a basic check.</w:t>
            </w:r>
          </w:p>
        </w:tc>
      </w:tr>
      <w:tr>
        <w:tc>
          <w:tcPr>
            <w:tcW w:type="dxa" w:w="2880"/>
          </w:tcPr>
          <w:p>
            <w:r>
              <w:t>Amber — controlled use</w:t>
            </w:r>
          </w:p>
        </w:tc>
        <w:tc>
          <w:tcPr>
            <w:tcW w:type="dxa" w:w="2880"/>
          </w:tcPr>
          <w:p>
            <w:r>
              <w:t>Aggregated lead-time data, anonymised machine logs, non-identifiable quality trends</w:t>
            </w:r>
          </w:p>
        </w:tc>
        <w:tc>
          <w:tcPr>
            <w:tcW w:type="dxa" w:w="2880"/>
          </w:tcPr>
          <w:p>
            <w:r>
              <w:t>Use only after owner approval, data minimisation and a documented vendor/data-processing check.</w:t>
            </w:r>
          </w:p>
        </w:tc>
      </w:tr>
      <w:tr>
        <w:tc>
          <w:tcPr>
            <w:tcW w:type="dxa" w:w="2880"/>
          </w:tcPr>
          <w:p>
            <w:r>
              <w:t>Red — do not upload</w:t>
            </w:r>
          </w:p>
        </w:tc>
        <w:tc>
          <w:tcPr>
            <w:tcW w:type="dxa" w:w="2880"/>
          </w:tcPr>
          <w:p>
            <w:r>
              <w:t>Customer drawings, quotations, prices, employee data, passwords, identifiable schedules, confidential supplier terms</w:t>
            </w:r>
          </w:p>
        </w:tc>
        <w:tc>
          <w:tcPr>
            <w:tcW w:type="dxa" w:w="2880"/>
          </w:tcPr>
          <w:p>
            <w:r>
              <w:t>Do not put this in public or unapproved external AI tools.</w:t>
            </w:r>
          </w:p>
        </w:tc>
      </w:tr>
    </w:tbl>
    <w:p/>
    <w:p>
      <w:r>
        <w:t>The important question is not simply cloud versus local. Before using a vendor service, check the data location, retention period, subprocessors, contract terms and whether the vendor can use your inputs to train a model. A self-hosted model may reduce data exposure but also creates work: access control, updates, backups, monitoring and accountability. For a firm without a data team, approved vendor tooling plus strict input rules is often the safer first step.</w:t>
      </w:r>
    </w:p>
    <w:p>
      <w:pPr>
        <w:pStyle w:val="Heading2"/>
      </w:pPr>
      <w:r>
        <w:t>Authority rule: when may AI act?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Level</w:t>
            </w:r>
          </w:p>
        </w:tc>
        <w:tc>
          <w:tcPr>
            <w:tcW w:type="dxa" w:w="2880"/>
          </w:tcPr>
          <w:p>
            <w:r>
              <w:rPr>
                <w:b/>
              </w:rPr>
              <w:t>Example</w:t>
            </w:r>
          </w:p>
        </w:tc>
        <w:tc>
          <w:tcPr>
            <w:tcW w:type="dxa" w:w="2880"/>
          </w:tcPr>
          <w:p>
            <w:r>
              <w:rPr>
                <w:b/>
              </w:rPr>
              <w:t>Human role</w:t>
            </w:r>
          </w:p>
        </w:tc>
      </w:tr>
      <w:tr>
        <w:tc>
          <w:tcPr>
            <w:tcW w:type="dxa" w:w="2880"/>
          </w:tcPr>
          <w:p>
            <w:r>
              <w:t>Green — AI assists</w:t>
            </w:r>
          </w:p>
        </w:tc>
        <w:tc>
          <w:tcPr>
            <w:tcW w:type="dxa" w:w="2880"/>
          </w:tcPr>
          <w:p>
            <w:r>
              <w:t>Summarising a non-confidential maintenance report or finding patterns in approved anonymised data</w:t>
            </w:r>
          </w:p>
        </w:tc>
        <w:tc>
          <w:tcPr>
            <w:tcW w:type="dxa" w:w="2880"/>
          </w:tcPr>
          <w:p>
            <w:r>
              <w:t>A person checks the output before use.</w:t>
            </w:r>
          </w:p>
        </w:tc>
      </w:tr>
      <w:tr>
        <w:tc>
          <w:tcPr>
            <w:tcW w:type="dxa" w:w="2880"/>
          </w:tcPr>
          <w:p>
            <w:r>
              <w:t>Amber — AI recommends</w:t>
            </w:r>
          </w:p>
        </w:tc>
        <w:tc>
          <w:tcPr>
            <w:tcW w:type="dxa" w:w="2880"/>
          </w:tcPr>
          <w:p>
            <w:r>
              <w:t>Suggesting a production sequence or flagging a possible late order</w:t>
            </w:r>
          </w:p>
        </w:tc>
        <w:tc>
          <w:tcPr>
            <w:tcW w:type="dxa" w:w="2880"/>
          </w:tcPr>
          <w:p>
            <w:r>
              <w:t>A named planner, engineer or manager approves and records the decision.</w:t>
            </w:r>
          </w:p>
        </w:tc>
      </w:tr>
      <w:tr>
        <w:tc>
          <w:tcPr>
            <w:tcW w:type="dxa" w:w="2880"/>
          </w:tcPr>
          <w:p>
            <w:r>
              <w:t>Red — AI does not act alone</w:t>
            </w:r>
          </w:p>
        </w:tc>
        <w:tc>
          <w:tcPr>
            <w:tcW w:type="dxa" w:w="2880"/>
          </w:tcPr>
          <w:p>
            <w:r>
              <w:t>Changing machine settings, releasing production orders, promising delivery dates, safety-critical or personnel decisions</w:t>
            </w:r>
          </w:p>
        </w:tc>
        <w:tc>
          <w:tcPr>
            <w:tcW w:type="dxa" w:w="2880"/>
          </w:tcPr>
          <w:p>
            <w:r>
              <w:t>AI may provide evidence; a named human remains the decision-maker.</w:t>
            </w:r>
          </w:p>
        </w:tc>
      </w:tr>
    </w:tbl>
    <w:p/>
    <w:p>
      <w:r>
        <w:t>Quiet AI use should be handled as a process and training issue, not only a disciplinary issue. Staff may use public tools because they save time or because no approved alternative exists. Publish a short rule: approved tools; prohibited data; situations in which AI use must be disclosed; a contact person for questions; and a no-blame route to report an accidental upload or mistake.</w:t>
      </w:r>
    </w:p>
    <w:p>
      <w:pPr>
        <w:pStyle w:val="Heading1"/>
      </w:pPr>
      <w:r>
        <w:t>Illustrative use case (CRISP-DM)</w:t>
      </w:r>
    </w:p>
    <w:p>
      <w:r>
        <w:t>Use case: an AI-supported “late-order risk” assistant for a manufacturer’s weekly production-planning meeting. The purpose is to flag orders that may miss their planned completion date. It does not change the schedule or contact customers automatically.</w:t>
      </w:r>
    </w:p>
    <w:p>
      <w:pPr>
        <w:pStyle w:val="Heading2"/>
      </w:pPr>
      <w:r>
        <w:t>1. Business understanding</w:t>
      </w:r>
    </w:p>
    <w:p>
      <w:r>
        <w:t>Reduce avoidable late deliveries by helping the planner identify orders needing attention earlier. Success measure: the planner judges whether the tool identifies useful risks without adding more than 15 minutes to the weekly meeting.</w:t>
      </w:r>
    </w:p>
    <w:p>
      <w:pPr>
        <w:pStyle w:val="Heading2"/>
      </w:pPr>
      <w:r>
        <w:t>2. Data understanding</w:t>
      </w:r>
    </w:p>
    <w:p>
      <w:r>
        <w:t>Possible inputs are approved historical order dates, planned and actual completion dates, routing steps and anonymised delay reasons. First check completeness, missing values, ownership, access rights and whether customer-identifying information can be removed.</w:t>
      </w:r>
    </w:p>
    <w:p>
      <w:pPr>
        <w:pStyle w:val="Heading2"/>
      </w:pPr>
      <w:r>
        <w:t>3. Data preparation</w:t>
      </w:r>
    </w:p>
    <w:p>
      <w:r>
        <w:t>Use the smallest data set needed. Remove customer names, prices, drawings, employee names and free-text notes unless there is a documented reason and an approved processing route. Keep a data dictionary showing each field and why it is used.</w:t>
      </w:r>
    </w:p>
    <w:p>
      <w:pPr>
        <w:pStyle w:val="Heading2"/>
      </w:pPr>
      <w:r>
        <w:t>4. Modelling</w:t>
      </w:r>
    </w:p>
    <w:p>
      <w:r>
        <w:t>Start no-code: a spreadsheet or approved analytics tool can classify orders as low, medium or high risk using agreed rules. Only consider more complex AI after the simple baseline is measured. The tool produces a recommendation, not an automatic decision.</w:t>
      </w:r>
    </w:p>
    <w:p>
      <w:pPr>
        <w:pStyle w:val="Heading2"/>
      </w:pPr>
      <w:r>
        <w:t>5. Evaluation</w:t>
      </w:r>
    </w:p>
    <w:p>
      <w:r>
        <w:t>Test against past weeks and compare the tool’s flags with the planner’s judgement. Record false alarms, missed late orders, unusual cases and whether the explanation was understandable. Stop if the output cannot be checked or causes unsafe operational pressure.</w:t>
      </w:r>
    </w:p>
    <w:p>
      <w:pPr>
        <w:pStyle w:val="Heading2"/>
      </w:pPr>
      <w:r>
        <w:t>6. Deployment</w:t>
      </w:r>
    </w:p>
    <w:p>
      <w:r>
        <w:t>Run a four-week reversible pilot in the weekly planning meeting. A named planner approves every action; maintain the existing planning process in parallel; review results at the end; then decide whether to stop, revise or continue.</w:t>
      </w:r>
    </w:p>
    <w:p>
      <w:pPr>
        <w:pStyle w:val="Heading1"/>
      </w:pPr>
      <w:r>
        <w:t>Recommended tooling</w:t>
      </w:r>
    </w:p>
    <w:p>
      <w:r>
        <w:t>Start with tools that match the maturity of the use case. The team must verify current pricing, security terms and suitability before recommending a named product.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Option</w:t>
            </w:r>
          </w:p>
        </w:tc>
        <w:tc>
          <w:tcPr>
            <w:tcW w:type="dxa" w:w="2160"/>
          </w:tcPr>
          <w:p>
            <w:r>
              <w:rPr>
                <w:b/>
              </w:rPr>
              <w:t>What it is for</w:t>
            </w:r>
          </w:p>
        </w:tc>
        <w:tc>
          <w:tcPr>
            <w:tcW w:type="dxa" w:w="2160"/>
          </w:tcPr>
          <w:p>
            <w:r>
              <w:rPr>
                <w:b/>
              </w:rPr>
              <w:t>Effort / cost</w:t>
            </w:r>
          </w:p>
        </w:tc>
        <w:tc>
          <w:tcPr>
            <w:tcW w:type="dxa" w:w="2160"/>
          </w:tcPr>
          <w:p>
            <w:r>
              <w:rPr>
                <w:b/>
              </w:rPr>
              <w:t>Guardrail</w:t>
            </w:r>
          </w:p>
        </w:tc>
      </w:tr>
      <w:tr>
        <w:tc>
          <w:tcPr>
            <w:tcW w:type="dxa" w:w="2160"/>
          </w:tcPr>
          <w:p>
            <w:r>
              <w:t>Spreadsheet baseline</w:t>
            </w:r>
          </w:p>
        </w:tc>
        <w:tc>
          <w:tcPr>
            <w:tcW w:type="dxa" w:w="2160"/>
          </w:tcPr>
          <w:p>
            <w:r>
              <w:t>A transparent rule-based late-order-risk list using approved internal data.</w:t>
            </w:r>
          </w:p>
        </w:tc>
        <w:tc>
          <w:tcPr>
            <w:tcW w:type="dxa" w:w="2160"/>
          </w:tcPr>
          <w:p>
            <w:r>
              <w:t>Low cost; requires one owner and a weekly review.</w:t>
            </w:r>
          </w:p>
        </w:tc>
        <w:tc>
          <w:tcPr>
            <w:tcW w:type="dxa" w:w="2160"/>
          </w:tcPr>
          <w:p>
            <w:r>
              <w:t>Keep the calculations visible and do not upload red-category data to public tools.</w:t>
            </w:r>
          </w:p>
        </w:tc>
      </w:tr>
      <w:tr>
        <w:tc>
          <w:tcPr>
            <w:tcW w:type="dxa" w:w="2160"/>
          </w:tcPr>
          <w:p>
            <w:r>
              <w:t>Approved BI / analytics environment</w:t>
            </w:r>
          </w:p>
        </w:tc>
        <w:tc>
          <w:tcPr>
            <w:tcW w:type="dxa" w:w="2160"/>
          </w:tcPr>
          <w:p>
            <w:r>
              <w:t>Visualise approved aggregated lead-time and delay data.</w:t>
            </w:r>
          </w:p>
        </w:tc>
        <w:tc>
          <w:tcPr>
            <w:tcW w:type="dxa" w:w="2160"/>
          </w:tcPr>
          <w:p>
            <w:r>
              <w:t>Moderate setup; confirm existing licences and access controls.</w:t>
            </w:r>
          </w:p>
        </w:tc>
        <w:tc>
          <w:tcPr>
            <w:tcW w:type="dxa" w:w="2160"/>
          </w:tcPr>
          <w:p>
            <w:r>
              <w:t>Use role-based access and retain the data classification decision.</w:t>
            </w:r>
          </w:p>
        </w:tc>
      </w:tr>
      <w:tr>
        <w:tc>
          <w:tcPr>
            <w:tcW w:type="dxa" w:w="2160"/>
          </w:tcPr>
          <w:p>
            <w:r>
              <w:t>Vendor planning or digital-twin pilot</w:t>
            </w:r>
          </w:p>
        </w:tc>
        <w:tc>
          <w:tcPr>
            <w:tcW w:type="dxa" w:w="2160"/>
          </w:tcPr>
          <w:p>
            <w:r>
              <w:t>Test a specialist tool on a narrow planning use case.</w:t>
            </w:r>
          </w:p>
        </w:tc>
        <w:tc>
          <w:tcPr>
            <w:tcW w:type="dxa" w:w="2160"/>
          </w:tcPr>
          <w:p>
            <w:r>
              <w:t>Higher effort; request an indicative quote and pilot terms.</w:t>
            </w:r>
          </w:p>
        </w:tc>
        <w:tc>
          <w:tcPr>
            <w:tcW w:type="dxa" w:w="2160"/>
          </w:tcPr>
          <w:p>
            <w:r>
              <w:t>Confirm EU data processing, export rights, subprocessors, retention and human approval controls before pilot.</w:t>
            </w:r>
          </w:p>
        </w:tc>
      </w:tr>
    </w:tbl>
    <w:p>
      <w:pPr>
        <w:pStyle w:val="Heading1"/>
      </w:pPr>
      <w:r>
        <w:t>Responsible AI &amp; trust</w:t>
      </w:r>
    </w:p>
    <w:p>
      <w:r>
        <w:t>Data ownership and GDPR: classify the data first; minimise inputs; obtain a written data-processing explanation from any external vendor; and do not treat a vendor’s marketing statement as proof of compliance. Personal data, confidential customer material and commercially sensitive records require a separate approved route or must remain outside the tool.</w:t>
      </w:r>
    </w:p>
    <w:p>
      <w:r>
        <w:t>Reliability: test recommendations against historical cases and expert judgement before operational use. Record false positives, missed risks and cases that cannot be explained. A tool that cannot show why it flagged an order should not be used as the sole basis for a consequential decision.</w:t>
      </w:r>
    </w:p>
    <w:p>
      <w:r>
        <w:t>Human-in-the-loop: a named planner or manager must approve amber decisions. AI may not automatically change schedules, machine settings, delivery commitments, safety controls or staff-related decisions in the initial use case.</w:t>
      </w:r>
    </w:p>
    <w:p>
      <w:r>
        <w:t>People: explain that the purpose is to support work, not secretly monitor staff or eliminate judgement. Give staff an approved-tool list, clear prohibited-data rules, a way to disclose AI use and a no-blame escalation route. AI literacy means knowing when to stop and ask for help, not merely knowing how to write a prompt.</w:t>
      </w:r>
    </w:p>
    <w:p>
      <w:r>
        <w:t>Regulatory note: this chapter is educational guidance, not legal advice. Exact obligations depend on the system’s purpose, data flows, vendor terms and applicable law. Confirm legal and compliance duties before deployment.</w:t>
      </w:r>
    </w:p>
    <w:p>
      <w:pPr>
        <w:pStyle w:val="Heading1"/>
      </w:pPr>
      <w:r>
        <w:t>First five steps for an owner</w:t>
      </w:r>
    </w:p>
    <w:p>
      <w:pPr>
        <w:pStyle w:val="ListNumber"/>
      </w:pPr>
      <w:r>
        <w:t>Make a one-page data map: classify customer documents, production schedules, machine logs, quality reports and employee information as green, amber or red.</w:t>
      </w:r>
    </w:p>
    <w:p>
      <w:pPr>
        <w:pStyle w:val="ListNumber"/>
      </w:pPr>
      <w:r>
        <w:t>Choose one low-risk use case where AI assists a person rather than acts autonomously; define the owner, success measure, stop rule and end date.</w:t>
      </w:r>
    </w:p>
    <w:p>
      <w:pPr>
        <w:pStyle w:val="ListNumber"/>
      </w:pPr>
      <w:r>
        <w:t>Write two human approval gates: for example, a planner must approve a late-order flag before changing a sequence, and an engineer must approve a maintenance recommendation before work is scheduled.</w:t>
      </w:r>
    </w:p>
    <w:p>
      <w:pPr>
        <w:pStyle w:val="ListNumber"/>
      </w:pPr>
      <w:r>
        <w:t>Publish an approved-tools rule for staff: permitted tools, prohibited data, when use must be disclosed and who answers questions.</w:t>
      </w:r>
    </w:p>
    <w:p>
      <w:pPr>
        <w:pStyle w:val="ListNumber"/>
      </w:pPr>
      <w:r>
        <w:t>Before a vendor pilot, request written answers on data location, retention, subprocessors, model training, export rights, cost, support and exit arrangements.</w:t>
      </w:r>
    </w:p>
    <w:p>
      <w:pPr>
        <w:pStyle w:val="Heading1"/>
      </w:pPr>
      <w:r>
        <w:t>Sources</w:t>
      </w:r>
    </w:p>
    <w:p>
      <w:r>
        <w:t>Before publication, replace this section with appraised, claim-level sources. The course requires every factual claim to be traceable and each core source to be appraised for credibility, relevance and recency.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Source</w:t>
            </w:r>
          </w:p>
        </w:tc>
        <w:tc>
          <w:tcPr>
            <w:tcW w:type="dxa" w:w="1728"/>
          </w:tcPr>
          <w:p>
            <w:r>
              <w:rPr>
                <w:b/>
              </w:rPr>
              <w:t>Claim(s) supported</w:t>
            </w:r>
          </w:p>
        </w:tc>
        <w:tc>
          <w:tcPr>
            <w:tcW w:type="dxa" w:w="1728"/>
          </w:tcPr>
          <w:p>
            <w:r>
              <w:rPr>
                <w:b/>
              </w:rPr>
              <w:t>Credibility</w:t>
            </w:r>
          </w:p>
        </w:tc>
        <w:tc>
          <w:tcPr>
            <w:tcW w:type="dxa" w:w="1728"/>
          </w:tcPr>
          <w:p>
            <w:r>
              <w:rPr>
                <w:b/>
              </w:rPr>
              <w:t>Relevance</w:t>
            </w:r>
          </w:p>
        </w:tc>
        <w:tc>
          <w:tcPr>
            <w:tcW w:type="dxa" w:w="1728"/>
          </w:tcPr>
          <w:p>
            <w:r>
              <w:rPr>
                <w:b/>
              </w:rPr>
              <w:t>Recency / limitation</w:t>
            </w:r>
          </w:p>
        </w:tc>
      </w:tr>
      <w:tr>
        <w:tc>
          <w:tcPr>
            <w:tcW w:type="dxa" w:w="1728"/>
          </w:tcPr>
          <w:p>
            <w:r>
              <w:t>EU AI Act — Regulation (EU) 2024/1689, Article 4 and relevant risk-management / human-oversight provisions</w:t>
            </w:r>
          </w:p>
        </w:tc>
        <w:tc>
          <w:tcPr>
            <w:tcW w:type="dxa" w:w="1728"/>
          </w:tcPr>
          <w:p>
            <w:r>
              <w:t>AI literacy, human oversight and deployment context</w:t>
            </w:r>
          </w:p>
        </w:tc>
        <w:tc>
          <w:tcPr>
            <w:tcW w:type="dxa" w:w="1728"/>
          </w:tcPr>
          <w:p>
            <w:r>
              <w:t>Primary EU legislation</w:t>
            </w:r>
          </w:p>
        </w:tc>
        <w:tc>
          <w:tcPr>
            <w:tcW w:type="dxa" w:w="1728"/>
          </w:tcPr>
          <w:p>
            <w:r>
              <w:t>Directly relevant to EU SMEs using AI</w:t>
            </w:r>
          </w:p>
        </w:tc>
        <w:tc>
          <w:tcPr>
            <w:tcW w:type="dxa" w:w="1728"/>
          </w:tcPr>
          <w:p>
            <w:r>
              <w:t>Verify the applicable provision and implementation date for the final claim.</w:t>
            </w:r>
          </w:p>
        </w:tc>
      </w:tr>
      <w:tr>
        <w:tc>
          <w:tcPr>
            <w:tcW w:type="dxa" w:w="1728"/>
          </w:tcPr>
          <w:p>
            <w:r>
              <w:t>European Commission / EDPB guidance on GDPR and data processing</w:t>
            </w:r>
          </w:p>
        </w:tc>
        <w:tc>
          <w:tcPr>
            <w:tcW w:type="dxa" w:w="1728"/>
          </w:tcPr>
          <w:p>
            <w:r>
              <w:t>Personal-data and vendor-processing guidance</w:t>
            </w:r>
          </w:p>
        </w:tc>
        <w:tc>
          <w:tcPr>
            <w:tcW w:type="dxa" w:w="1728"/>
          </w:tcPr>
          <w:p>
            <w:r>
              <w:t>Official regulatory guidance</w:t>
            </w:r>
          </w:p>
        </w:tc>
        <w:tc>
          <w:tcPr>
            <w:tcW w:type="dxa" w:w="1728"/>
          </w:tcPr>
          <w:p>
            <w:r>
              <w:t>Relevant when staff or customer data are involved</w:t>
            </w:r>
          </w:p>
        </w:tc>
        <w:tc>
          <w:tcPr>
            <w:tcW w:type="dxa" w:w="1728"/>
          </w:tcPr>
          <w:p>
            <w:r>
              <w:t>Use the most current guidance; this does not replace legal advice.</w:t>
            </w:r>
          </w:p>
        </w:tc>
      </w:tr>
      <w:tr>
        <w:tc>
          <w:tcPr>
            <w:tcW w:type="dxa" w:w="1728"/>
          </w:tcPr>
          <w:p>
            <w:r>
              <w:t>Vendor data-processing agreement, privacy notice and subprocessor list</w:t>
            </w:r>
          </w:p>
        </w:tc>
        <w:tc>
          <w:tcPr>
            <w:tcW w:type="dxa" w:w="1728"/>
          </w:tcPr>
          <w:p>
            <w:r>
              <w:t>Data location, retention, training use and subcontractors for a selected tool</w:t>
            </w:r>
          </w:p>
        </w:tc>
        <w:tc>
          <w:tcPr>
            <w:tcW w:type="dxa" w:w="1728"/>
          </w:tcPr>
          <w:p>
            <w:r>
              <w:t>Primary vendor documentation</w:t>
            </w:r>
          </w:p>
        </w:tc>
        <w:tc>
          <w:tcPr>
            <w:tcW w:type="dxa" w:w="1728"/>
          </w:tcPr>
          <w:p>
            <w:r>
              <w:t>Required for tool-specific recommendation</w:t>
            </w:r>
          </w:p>
        </w:tc>
        <w:tc>
          <w:tcPr>
            <w:tcW w:type="dxa" w:w="1728"/>
          </w:tcPr>
          <w:p>
            <w:r>
              <w:t>Must be checked for each vendor and date accessed.</w:t>
            </w:r>
          </w:p>
        </w:tc>
      </w:tr>
      <w:tr>
        <w:tc>
          <w:tcPr>
            <w:tcW w:type="dxa" w:w="1728"/>
          </w:tcPr>
          <w:p>
            <w:r>
              <w:t>[Add appraised SME / manufacturing case source]</w:t>
            </w:r>
          </w:p>
        </w:tc>
        <w:tc>
          <w:tcPr>
            <w:tcW w:type="dxa" w:w="1728"/>
          </w:tcPr>
          <w:p>
            <w:r>
              <w:t>Practical use-case evidence</w:t>
            </w:r>
          </w:p>
        </w:tc>
        <w:tc>
          <w:tcPr>
            <w:tcW w:type="dxa" w:w="1728"/>
          </w:tcPr>
          <w:p>
            <w:r>
              <w:t>[Assess]</w:t>
            </w:r>
          </w:p>
        </w:tc>
        <w:tc>
          <w:tcPr>
            <w:tcW w:type="dxa" w:w="1728"/>
          </w:tcPr>
          <w:p>
            <w:r>
              <w:t>[Assess]</w:t>
            </w:r>
          </w:p>
        </w:tc>
        <w:tc>
          <w:tcPr>
            <w:tcW w:type="dxa" w:w="1728"/>
          </w:tcPr>
          <w:p>
            <w:r>
              <w:t>[Assess]</w:t>
            </w:r>
          </w:p>
        </w:tc>
      </w:tr>
    </w:tbl>
    <w:p>
      <w:pPr>
        <w:pStyle w:val="Heading1"/>
      </w:pPr>
      <w:r>
        <w:t>Educational disclaimer and AI-use note</w:t>
      </w:r>
    </w:p>
    <w:p>
      <w:r>
        <w:t>Educational, not consultancy. This chapter offers research-based starting points, not commercial, legal or safety guarantees. Decisions remain the firm’s own. Real SME information is anonymised or used only with consent; sensitive data never enters the public handbook.</w:t>
      </w:r>
    </w:p>
    <w:p>
      <w:r>
        <w:t>AI-use note: An AI language model assisted with structure and drafting. The team is responsible for checking every factual claim, source, translation and recommendation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