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Knowledge Architecture — Agentic Research Assistant for the Giesen Handbook</w:t>
      </w:r>
    </w:p>
    <w:p>
      <w:pPr>
        <w:spacing w:after="300"/>
      </w:pPr>
      <w:r>
        <w:rPr>
          <w:i/>
          <w:iCs/>
        </w:rPr>
        <w:t xml:space="preserve">AEL · Team 08 · Version 1.1 · 23 September 2026 · updated against Research Proposal v2.1, PRD v2.1 and the Interview Guide (Blueprint unchanged, v1.0)</w:t>
      </w:r>
    </w:p>
    <w:p>
      <w:pPr>
        <w:pStyle w:val="Heading2"/>
      </w:pPr>
      <w:r>
        <w:t xml:space="preserve">1. What the platform has to know</w:t>
      </w:r>
    </w:p>
    <w:p>
      <w:pPr>
        <w:pStyle w:val="ListParagraph"/>
        <w:numPr>
          <w:ilvl w:val="0"/>
          <w:numId w:val="1"/>
        </w:numPr>
        <w:spacing w:after="60"/>
      </w:pPr>
      <w:r>
        <w:t xml:space="preserve">The Week 2 research proposal (v2.1) — the target archetype, the external and internal sub-questions including the newly added Theme 5 (payback evidence) and Theme 6 (post-funding durability) buckets, and the quality rubric — loaded into the Query &amp; Task Manager as the seed context every later step traces back to.</w:t>
      </w:r>
    </w:p>
    <w:p>
      <w:pPr>
        <w:pStyle w:val="ListParagraph"/>
        <w:numPr>
          <w:ilvl w:val="0"/>
          <w:numId w:val="1"/>
        </w:numPr>
        <w:spacing w:after="60"/>
      </w:pPr>
      <w:r>
        <w:t xml:space="preserve">Raw sources fetched by the Search &amp; Retrieval Layer: CBS statistics, EU legal texts (AI Act, GDPR, Data Act), HAN's own fieldlab/Varex material, vendor documentation, and Dutch trade press — now run through explicit Dutch-language queries as well as English ones, tagged with URL, publisher, date, type, language.</w:t>
      </w:r>
    </w:p>
    <w:p>
      <w:pPr>
        <w:pStyle w:val="ListParagraph"/>
        <w:numPr>
          <w:ilvl w:val="0"/>
          <w:numId w:val="1"/>
        </w:numPr>
        <w:spacing w:after="60"/>
      </w:pPr>
      <w:r>
        <w:t xml:space="preserve">Scored source records from the Source Evaluation &amp; Scoring Engine: the same sources plus their five rubric scores, with the updated rule that a vendor's own document can no longer carry an adoption, cost or regulatory claim on its own — a non-vendor authoritative source is required alongside it.</w:t>
      </w:r>
    </w:p>
    <w:p>
      <w:pPr>
        <w:pStyle w:val="ListParagraph"/>
        <w:numPr>
          <w:ilvl w:val="0"/>
          <w:numId w:val="1"/>
        </w:numPr>
        <w:spacing w:after="60"/>
      </w:pPr>
      <w:r>
        <w:t xml:space="preserve">Extracted claims (adoption percentages, legal obligations, cost figures), each linked to the source(s) that support it, labelled as public, interview, comparable-case, interpretation or unknown, and mapped to the sub-question it answers.</w:t>
      </w:r>
    </w:p>
    <w:p>
      <w:pPr>
        <w:pStyle w:val="ListParagraph"/>
        <w:numPr>
          <w:ilvl w:val="0"/>
          <w:numId w:val="1"/>
        </w:numPr>
        <w:spacing w:after="60"/>
      </w:pPr>
      <w:r>
        <w:t xml:space="preserve">Draft handbook pages from the Drafting &amp; Synthesis Engine: one per theme, each with an evidence summary, a plain-language narrative, and a reference list.</w:t>
      </w:r>
    </w:p>
    <w:p>
      <w:pPr>
        <w:pStyle w:val="ListParagraph"/>
        <w:numPr>
          <w:ilvl w:val="0"/>
          <w:numId w:val="1"/>
        </w:numPr>
        <w:spacing w:after="60"/>
      </w:pPr>
      <w:r>
        <w:t xml:space="preserve">Quality reports from the Validation &amp; Quality Gate: per-page citation coverage, hallucination flag rate, completeness score, and a list of low-confidence claims.</w:t>
      </w:r>
    </w:p>
    <w:p>
      <w:pPr>
        <w:pStyle w:val="ListParagraph"/>
        <w:numPr>
          <w:ilvl w:val="0"/>
          <w:numId w:val="1"/>
        </w:numPr>
        <w:spacing w:after="60"/>
      </w:pPr>
      <w:r>
        <w:t xml:space="preserve">Dutch-language originals and their working translations: the Dutch source is retained as the evidence of record; the translation is marked machine-assisted, with bilingual human review on passages used for a material claim.</w:t>
      </w:r>
    </w:p>
    <w:p>
      <w:pPr>
        <w:pStyle w:val="ListParagraph"/>
        <w:numPr>
          <w:ilvl w:val="0"/>
          <w:numId w:val="1"/>
        </w:numPr>
        <w:spacing w:after="60"/>
      </w:pPr>
      <w:r>
        <w:t xml:space="preserve">Anonymised field material: consented quotes and observations from the Giesen visit, entered as claims by a named team member — never the raw recording or transcript.</w:t>
      </w:r>
    </w:p>
    <w:p>
      <w:pPr>
        <w:pStyle w:val="ListParagraph"/>
        <w:numPr>
          <w:ilvl w:val="0"/>
          <w:numId w:val="1"/>
        </w:numPr>
        <w:spacing w:after="200"/>
      </w:pPr>
      <w:r>
        <w:t xml:space="preserve">Audit logs of every query, fetch, scoring decision and drafting choice, so a claim on a published page can be traced back to its origin.</w:t>
      </w:r>
    </w:p>
    <w:p>
      <w:pPr>
        <w:pStyle w:val="Heading2"/>
      </w:pPr>
      <w:r>
        <w:t xml:space="preserve">2. Where it lives, and how it is found again</w:t>
      </w:r>
    </w:p>
    <w:p>
      <w:pPr>
        <w:spacing w:after="150"/>
      </w:pPr>
      <w:r>
        <w:t xml:space="preserve">We compile ahead of time rather than look up at the moment of a question. The Evidence Store (Source / Claim / Task tables) is the single place everything above lives. The Drafting &amp; Synthesis Engine reads from it in batch to produce one full draft page per theme, and that page — not a live query — is what an SME reader or the partner team sees. This now includes two more source-discovery passes than before Theme 5/6 and the Dutch-language queries were added, but the pipeline they feed is unchanged.</w:t>
      </w:r>
    </w:p>
    <w:p>
      <w:pPr>
        <w:spacing w:after="200"/>
      </w:pPr>
      <w:r>
        <w:t xml:space="preserve">The path from a question to its answer: an SME owner reading a published page never queries the platform at all — the answer is already on the page, and every claim carries a reference back to a specific Source record and its rubric score. A reviewer or lecturer checking a claim follows that same reference into the Evidence Store directly, by Claim ID, rather than the platform re-running a search.</w:t>
      </w:r>
    </w:p>
    <w:p>
      <w:pPr>
        <w:pStyle w:val="Heading2"/>
      </w:pPr>
      <w:r>
        <w:t xml:space="preserve">3. Why this, and not the alternatives</w:t>
      </w:r>
    </w:p>
    <w:p>
      <w:pPr>
        <w:spacing w:after="150"/>
      </w:pPr>
      <w:r>
        <w:t xml:space="preserve">Alternative considered: real-time retrieval, where the platform searches and drafts fresh each time someone asks. Rejected — the handbook's own rule is that nothing is published to an SME reader before it has been reviewed, which real-time generation cannot guarantee, and it works against the updated PRD's own targets: citation coverage ≥95%, hallucination flag rate ≤2–3%, and median time from approved source list to reviewable draft under 10 minutes. All three describe validating one compiled draft, not regenerating an answer per read. Batch compilation also lets the Validation &amp; Quality Gate run once, before publication, rather than on every read.</w:t>
      </w:r>
    </w:p>
    <w:p>
      <w:pPr>
        <w:spacing w:after="200"/>
      </w:pPr>
      <w:r>
        <w:t xml:space="preserve">What would make us switch: if the handbook's job changed from a static, human-reviewed page to an interactive tool an owner queries directly, real-time retrieval would become necessary. That is not the platform's current PRD scope, which explicitly excludes ERP/MES integration and automatic publication.</w:t>
      </w:r>
    </w:p>
    <w:p>
      <w:pPr>
        <w:pStyle w:val="Heading2"/>
      </w:pPr>
      <w:r>
        <w:t xml:space="preserve">4. The line, kept</w:t>
      </w:r>
    </w:p>
    <w:p>
      <w:pPr>
        <w:spacing w:after="150"/>
      </w:pPr>
      <w:r>
        <w:t xml:space="preserve">Interview recordings, transcripts, and any Giesen staff names are the protected side. The updated PRD now states this directly: protected material is kept outside the agent's ordinary retrieval folder. The interview guide names the exact location — /protected/interview-material/ — and confirms it is never sent to a free-tier AI tool.</w:t>
      </w:r>
    </w:p>
    <w:p>
      <w:pPr>
        <w:spacing w:after="200"/>
      </w:pPr>
      <w:r>
        <w:t xml:space="preserve">Structurally, the Query &amp; Task Manager only ever accepts seed queries, keywords, and example URLs as input — raw interview material was never designed as an input type it can take, and it does not live inside the folder the Search &amp; Retrieval Layer's automated fetch can reach. The only way field material enters the Evidence Store is as a manually written Claim, added by a named team member after anonymisation, carrying a "field, consented" source tag instead of a URL. Recording only happens with explicit permission, and nothing is approached before the consent and anonymisation text is signed off by both lecturers and the company.</w:t>
      </w:r>
    </w:p>
    <w:p>
      <w:pPr>
        <w:pStyle w:val="Heading2"/>
      </w:pPr>
      <w:r>
        <w:t xml:space="preserve">5. The open questions</w:t>
      </w:r>
    </w:p>
    <w:p>
      <w:pPr>
        <w:spacing w:after="150"/>
      </w:pPr>
      <w:r>
        <w:t xml:space="preserve">We still do not have the tutor's blueprint-specific questions. The letter our team received (from Meike Botterweg) addresses the AIBS proposal's search strategy and rubric — since answered in Research Proposal v2.1 §6 — not a dedicated blueprint gate. We have not found a separate blueprint-gate message in our Teams channel and have asked our AEL lecturer to confirm whether one was sent. Until it arrives, here is our own read of where the Blueprint and the now-updated PRD stop matching each other, run the same way the tutor would:</w:t>
      </w:r>
    </w:p>
    <w:p>
      <w:pPr>
        <w:spacing w:after="100"/>
      </w:pPr>
      <w:r>
        <w:rPr>
          <w:b/>
          <w:bCs/>
        </w:rPr>
        <w:t xml:space="preserve">Q1. </w:t>
      </w:r>
      <w:r>
        <w:t xml:space="preserve">The updated PRD tracks five platform-level metrics (citation coverage, hallucination flag rate, median time, human edit distance, privacy/provenance incidents); the Blueprint's Validation &amp; Quality Gate only computes the first two plus completeness. What we changed: human edit distance and median time move to the Audit &amp; Logging Service, since they measure editing behaviour and platform speed rather than page content quality; privacy/provenance incidents are logged there too, triggered whenever a Claim is tagged "field, consented" outside the normal ingestion path.</w:t>
      </w:r>
    </w:p>
    <w:p>
      <w:pPr>
        <w:spacing w:after="100"/>
      </w:pPr>
      <w:r>
        <w:rPr>
          <w:b/>
          <w:bCs/>
        </w:rPr>
        <w:t xml:space="preserve">Q2. </w:t>
      </w:r>
      <w:r>
        <w:t xml:space="preserve">The PRD's assumption section still names a real risk — the model may not process full source sizes — and commits to chunking and manual passage selection as the fallback, but the Blueprint's pipeline shows no chunking step. Why we left it open: for now it sits inside the Search &amp; Retrieval Layer's existing "normalise content" responsibility; the concrete chunking strategy is deferred to the week 4 build plan, where it becomes a real task instead of a paragraph.</w:t>
      </w:r>
    </w:p>
    <w:p>
      <w:pPr>
        <w:spacing w:after="100"/>
      </w:pPr>
      <w:r>
        <w:rPr>
          <w:b/>
          <w:bCs/>
        </w:rPr>
        <w:t xml:space="preserve">Q3. </w:t>
      </w:r>
      <w:r>
        <w:t xml:space="preserve">The PRD's financial-hallucination benchmark (20–30 cost claims, owned by the research lead) has no home in the Blueprint. What we changed: it now runs inside the Validation &amp; Quality Gate as a standing test set, checked on every page containing a cost claim, rather than as a manual process the research lead runs outside the platform.</w:t>
      </w:r>
    </w:p>
    <w:p>
      <w:pPr>
        <w:spacing w:after="200"/>
      </w:pPr>
      <w:r>
        <w:rPr>
          <w:b/>
          <w:bCs/>
        </w:rPr>
        <w:t xml:space="preserve">Q4. </w:t>
      </w:r>
      <w:r>
        <w:t xml:space="preserve">The PRD now names a translation-quality open question — ten Dutch→English passages tested before Week 3, owned by the developer and a bilingual reviewer — but the Blueprint doesn't name which component performs the translation step itself. What we changed: the updated PRD's user journey now names an explicit "Translate" step between retrieve and appraise, so we're assigning automated translation to the Search &amp; Retrieval Layer on ingestion, with the bilingual check remaining a manual gate before a translated passage can support a Claim.</w:t>
      </w:r>
    </w:p>
    <w:p>
      <w:pPr>
        <w:pStyle w:val="Heading2"/>
      </w:pPr>
      <w:r>
        <w:t xml:space="preserve">Decision log — Entry 1</w:t>
      </w:r>
    </w:p>
    <w:p>
      <w:pPr>
        <w:spacing w:after="100"/>
      </w:pPr>
      <w:r>
        <w:rPr>
          <w:b/>
          <w:bCs/>
        </w:rPr>
        <w:t xml:space="preserve">Choice: </w:t>
      </w:r>
      <w:r>
        <w:t xml:space="preserve">how the platform serves an answer — compile pages ahead of time from the Evidence Store, versus retrieving and drafting fresh at the moment of a question.</w:t>
      </w:r>
    </w:p>
    <w:p>
      <w:pPr>
        <w:spacing w:after="100"/>
      </w:pPr>
      <w:r>
        <w:rPr>
          <w:b/>
          <w:bCs/>
        </w:rPr>
        <w:t xml:space="preserve">What failed: </w:t>
      </w:r>
      <w:r>
        <w:t xml:space="preserve">our first instinct was to lean on the Blueprint's RAG note and let each question trigger a fresh retrieval-and-draft cycle, reasoning it would always reflect the newest sources. That broke against the handbook's publication rule (nothing goes to an SME reader unreviewed) and the PRD's citation-coverage and turnaround-time targets, which assume a page is validated once, not regenerated per read.</w:t>
      </w:r>
    </w:p>
    <w:p>
      <w:pPr>
        <w:spacing w:after="100"/>
      </w:pPr>
      <w:r>
        <w:rPr>
          <w:b/>
          <w:bCs/>
        </w:rPr>
        <w:t xml:space="preserve">What we changed: </w:t>
      </w:r>
      <w:r>
        <w:t xml:space="preserve">batch compilation into a validated, published page, with the Evidence Store kept queryable underneath it for anyone tracing a claim back to its source. Live retrieval stays a build-time step for the research team, not a read-time step for the SME. This still holds after the proposal and PRD updates — Theme 5/6 and the Dutch queries add more to compile, not a reason to compile differently.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2026-09-23T13:21:19.493Z</dcterms:created>
  <dcterms:modified xsi:type="dcterms:W3CDTF">2026-09-23T13:21:19.502Z</dcterms:modified>
</cp:coreProperties>
</file>

<file path=docProps/custom.xml><?xml version="1.0" encoding="utf-8"?>
<Properties xmlns="http://schemas.openxmlformats.org/officeDocument/2006/custom-properties" xmlns:vt="http://schemas.openxmlformats.org/officeDocument/2006/docPropsVTypes"/>
</file>