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3A0934" w:rsidRPr="00B33952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0850C5">
        <w:rPr>
          <w:lang w:val="fr-LU"/>
        </w:rPr>
        <w:br w:type="page"/>
      </w:r>
      <w:proofErr w:type="spellStart"/>
      <w:r w:rsidR="00F021AD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316B9E" w:rsidRPr="00125EAB" w:rsidRDefault="00316B9E" w:rsidP="00316B9E">
      <w:pPr>
        <w:spacing w:before="240"/>
      </w:pPr>
      <w:r w:rsidRPr="00125EAB">
        <w:t>${SUMMARY_EVAL_RISK}</w:t>
      </w:r>
    </w:p>
    <w:p w:rsidR="00872CAA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</w:pPr>
      <w:r w:rsidRPr="00125EAB">
        <w:t>${CURRENT_RISK_MAP}</w:t>
      </w:r>
    </w:p>
    <w:p w:rsidR="00316B9E" w:rsidRPr="00125EAB" w:rsidRDefault="00872CAA" w:rsidP="00316B9E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316B9E" w:rsidRPr="00125EAB" w:rsidRDefault="00316B9E" w:rsidP="00316B9E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125EAB" w:rsidRDefault="00715E6B">
      <w:pPr>
        <w:spacing w:after="200" w:line="276" w:lineRule="auto"/>
        <w:ind w:right="0"/>
        <w:jc w:val="left"/>
        <w:rPr>
          <w:sz w:val="20"/>
        </w:rPr>
      </w:pPr>
      <w:r w:rsidRPr="00125EAB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872CA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88826802" w:history="1">
            <w:r w:rsidR="00872CAA" w:rsidRPr="002C141B">
              <w:rPr>
                <w:rStyle w:val="Hyperlink"/>
                <w:noProof/>
                <w:lang w:val="fr-BE"/>
              </w:rPr>
              <w:t>1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Einleitung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3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1.2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Zweck des Dokuments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_Toc488826803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4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1.3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Quellenangaben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5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Akronyme/Begriffe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6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5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07" w:history="1">
            <w:r w:rsidR="00872CAA" w:rsidRPr="002C141B">
              <w:rPr>
                <w:rStyle w:val="Hyperlink"/>
                <w:noProof/>
                <w:lang w:val="fr-LU"/>
              </w:rPr>
              <w:t>2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Bestimmung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8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Beschreibung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09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2.2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Festlegung der Kriterien für die Risikobewertung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_Toc488826809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0" w:history="1">
            <w:r w:rsidR="00872CAA" w:rsidRPr="002C141B">
              <w:rPr>
                <w:rStyle w:val="Hyperlink"/>
                <w:noProof/>
                <w:lang w:val="fr-LU"/>
              </w:rPr>
              <w:t>2.2.1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Auswirkungen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_Toc488826810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1" w:history="1">
            <w:r w:rsidR="00872CAA" w:rsidRPr="002C141B">
              <w:rPr>
                <w:rStyle w:val="Hyperlink"/>
                <w:noProof/>
              </w:rPr>
              <w:t>2.2.2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_Toc488826811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2" w:history="1">
            <w:r w:rsidR="00872CAA" w:rsidRPr="002C141B">
              <w:rPr>
                <w:rStyle w:val="Hyperlink"/>
                <w:noProof/>
              </w:rPr>
              <w:t>2.2.3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Skala Sicherheitslücken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8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13" w:history="1">
            <w:r w:rsidR="00872CAA" w:rsidRPr="002C141B">
              <w:rPr>
                <w:rStyle w:val="Hyperlink"/>
                <w:noProof/>
              </w:rPr>
              <w:t>2.2.4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Tabelle der Risiken und Risikoakzeptanzschwellen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_Toc488826813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9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4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2.3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Bewertung der Tendenzen und der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9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5" w:history="1">
            <w:r w:rsidR="00872CAA" w:rsidRPr="002C141B">
              <w:rPr>
                <w:rStyle w:val="Hyperlink"/>
                <w:noProof/>
                <w:lang w:val="fr-LU"/>
              </w:rPr>
              <w:t>3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Modellierung des Kontextes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10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6" w:history="1">
            <w:r w:rsidR="00872CAA" w:rsidRPr="002C141B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Identifizierung der Assets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10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7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3.2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Identifizierung der Sicherheitslücken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10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18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3.3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Einschätzung der Konsequenzen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10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19" w:history="1">
            <w:r w:rsidR="00872CAA" w:rsidRPr="002C141B">
              <w:rPr>
                <w:rStyle w:val="Hyperlink"/>
                <w:noProof/>
                <w:lang w:val="fr-LU"/>
              </w:rPr>
              <w:t>4</w:t>
            </w:r>
            <w:r w:rsidR="00872C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Risikobewertung und Risikobehandlung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_Toc488826819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0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4.1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Zusammenfassung der Risikobewertung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_Toc488826820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11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1" w:history="1">
            <w:r w:rsidR="00872CAA" w:rsidRPr="002C141B">
              <w:rPr>
                <w:rStyle w:val="Hyperlink"/>
                <w:noProof/>
                <w:snapToGrid w:val="0"/>
                <w:w w:val="0"/>
              </w:rPr>
              <w:t>4.2</w:t>
            </w:r>
            <w:r w:rsidR="00872CA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</w:rPr>
              <w:t>Risikobehandlung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_Toc488826821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12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2" w:history="1">
            <w:r w:rsidR="00872CAA" w:rsidRPr="002C141B">
              <w:rPr>
                <w:rStyle w:val="Hyperlink"/>
                <w:noProof/>
                <w:lang w:val="fr-LU"/>
              </w:rPr>
              <w:t>4.2.1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LU"/>
              </w:rPr>
              <w:t>Risiken der Informationen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_Toc488826822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12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488826823" w:history="1">
            <w:r w:rsidR="00872CAA" w:rsidRPr="002C141B">
              <w:rPr>
                <w:rStyle w:val="Hyperlink"/>
                <w:noProof/>
                <w:lang w:val="fr-LU"/>
              </w:rPr>
              <w:t>4.2.2</w:t>
            </w:r>
            <w:r w:rsidR="00872CA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72CAA" w:rsidRPr="002C141B">
              <w:rPr>
                <w:rStyle w:val="Hyperlink"/>
                <w:noProof/>
                <w:lang w:val="fr-LU"/>
              </w:rPr>
              <w:t>Operative Risiken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_Toc488826823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12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4" w:history="1">
            <w:r w:rsidR="00872CAA" w:rsidRPr="002C141B">
              <w:rPr>
                <w:rStyle w:val="Hyperlink"/>
                <w:noProof/>
              </w:rPr>
              <w:t>Anhang A: Interview und Informationsbeschaffung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_Toc488826824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13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5" w:history="1">
            <w:r w:rsidR="00872CAA" w:rsidRPr="002C141B">
              <w:rPr>
                <w:rStyle w:val="Hyperlink"/>
                <w:noProof/>
              </w:rPr>
              <w:t>Anhang B: Bewertung der Tendenzen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_Toc488826825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14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6" w:history="1">
            <w:r w:rsidR="00872CAA" w:rsidRPr="002C141B">
              <w:rPr>
                <w:rStyle w:val="Hyperlink"/>
                <w:noProof/>
              </w:rPr>
              <w:t>Anhang C: Bewertung der Bedrohungen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_Toc488826826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15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88826827" w:history="1">
            <w:r w:rsidR="00872CAA" w:rsidRPr="002C141B">
              <w:rPr>
                <w:rStyle w:val="Hyperlink"/>
                <w:noProof/>
              </w:rPr>
              <w:t>Anhang D: Hinweise und Bemerkungen des Beraters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_Toc488826827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16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8" w:history="1">
            <w:r w:rsidR="00872CAA" w:rsidRPr="002C141B">
              <w:rPr>
                <w:rStyle w:val="Hyperlink"/>
                <w:noProof/>
              </w:rPr>
              <w:t>Risiken der Informationen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_Toc488826828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16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872CAA" w:rsidRDefault="00D36D9D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88826829" w:history="1">
            <w:r w:rsidR="00872CAA" w:rsidRPr="002C141B">
              <w:rPr>
                <w:rStyle w:val="Hyperlink"/>
                <w:noProof/>
              </w:rPr>
              <w:t>Operative Risiken</w:t>
            </w:r>
            <w:r w:rsidR="00872CAA">
              <w:rPr>
                <w:noProof/>
                <w:webHidden/>
              </w:rPr>
              <w:tab/>
            </w:r>
            <w:r w:rsidR="00872CAA">
              <w:rPr>
                <w:noProof/>
                <w:webHidden/>
              </w:rPr>
              <w:fldChar w:fldCharType="begin"/>
            </w:r>
            <w:r w:rsidR="00872CAA">
              <w:rPr>
                <w:noProof/>
                <w:webHidden/>
              </w:rPr>
              <w:instrText xml:space="preserve"> PAGEREF _Toc488826829 \h </w:instrText>
            </w:r>
            <w:r w:rsidR="00872CAA">
              <w:rPr>
                <w:noProof/>
                <w:webHidden/>
              </w:rPr>
            </w:r>
            <w:r w:rsidR="00872CAA">
              <w:rPr>
                <w:noProof/>
                <w:webHidden/>
              </w:rPr>
              <w:fldChar w:fldCharType="separate"/>
            </w:r>
            <w:r w:rsidR="00872CAA">
              <w:rPr>
                <w:noProof/>
                <w:webHidden/>
              </w:rPr>
              <w:t>16</w:t>
            </w:r>
            <w:r w:rsidR="00872CAA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8" w:name="_Toc488826802"/>
      <w:proofErr w:type="spellStart"/>
      <w:r>
        <w:lastRenderedPageBreak/>
        <w:t>Einleitung</w:t>
      </w:r>
      <w:bookmarkEnd w:id="8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488826803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proofErr w:type="spellEnd"/>
    </w:p>
    <w:p w:rsidR="00E24730" w:rsidRPr="000D346D" w:rsidRDefault="00E24730" w:rsidP="00E24730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gramStart"/>
      <w:r w:rsidRPr="000D346D">
        <w:t>an</w:t>
      </w:r>
      <w:proofErr w:type="gramEnd"/>
      <w:r w:rsidRPr="000D346D">
        <w:t xml:space="preserve">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E24730" w:rsidRPr="000D346D" w:rsidRDefault="00E24730" w:rsidP="00E24730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proofErr w:type="gramStart"/>
      <w:r>
        <w:t>oder</w:t>
      </w:r>
      <w:proofErr w:type="spellEnd"/>
      <w:proofErr w:type="gram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3A0934" w:rsidRPr="008C670F" w:rsidRDefault="008C670F" w:rsidP="008C670F">
      <w:pPr>
        <w:pStyle w:val="Heading2"/>
        <w:numPr>
          <w:ilvl w:val="1"/>
          <w:numId w:val="1"/>
        </w:numPr>
      </w:pPr>
      <w:bookmarkStart w:id="11" w:name="_Toc450917896"/>
      <w:bookmarkStart w:id="12" w:name="_Toc488826804"/>
      <w:proofErr w:type="spellStart"/>
      <w:r w:rsidRPr="000D346D">
        <w:t>Quellenangaben</w:t>
      </w:r>
      <w:bookmarkEnd w:id="11"/>
      <w:bookmarkEnd w:id="12"/>
      <w:proofErr w:type="spellEnd"/>
    </w:p>
    <w:p w:rsidR="008C670F" w:rsidRDefault="003A0934" w:rsidP="009C589F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="008C670F" w:rsidRPr="000D346D">
        <w:t>Informationssicherheits-Risikomanagement</w:t>
      </w:r>
      <w:proofErr w:type="spellEnd"/>
      <w:r w:rsidR="008C670F" w:rsidRPr="000D346D">
        <w:t xml:space="preserve">. </w:t>
      </w:r>
    </w:p>
    <w:p w:rsidR="008C670F" w:rsidRPr="000D346D" w:rsidRDefault="00D36D9D" w:rsidP="008C670F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8" w:history="1">
        <w:r w:rsidR="00125EAB" w:rsidRPr="00BB17BB">
          <w:rPr>
            <w:rStyle w:val="Hyperlink"/>
            <w:lang w:val="fr-LU"/>
          </w:rPr>
          <w:t>http://www.iso.org/iso/en/catalogue_detail?csnumber=56742</w:t>
        </w:r>
      </w:hyperlink>
      <w:r w:rsidR="00636DD3" w:rsidRPr="008C670F">
        <w:rPr>
          <w:lang w:val="fr-LU"/>
        </w:rPr>
        <w:t>.</w:t>
      </w:r>
      <w:r w:rsidR="003A0934" w:rsidRPr="008C670F">
        <w:rPr>
          <w:lang w:val="fr-LU"/>
        </w:rPr>
        <w:t xml:space="preserve"> </w:t>
      </w:r>
      <w:r w:rsidR="008C670F" w:rsidRPr="000D346D">
        <w:t xml:space="preserve">Die Norm ISO 27005 </w:t>
      </w:r>
      <w:proofErr w:type="spellStart"/>
      <w:r w:rsidR="008C670F" w:rsidRPr="000D346D">
        <w:t>erklärt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Detail, </w:t>
      </w:r>
      <w:proofErr w:type="spellStart"/>
      <w:r w:rsidR="008C670F" w:rsidRPr="000D346D">
        <w:t>wie</w:t>
      </w:r>
      <w:proofErr w:type="spellEnd"/>
      <w:r w:rsidR="008C670F" w:rsidRPr="000D346D">
        <w:t xml:space="preserve"> </w:t>
      </w:r>
      <w:proofErr w:type="spellStart"/>
      <w:r w:rsidR="008C670F" w:rsidRPr="000D346D">
        <w:t>Risikobewertung</w:t>
      </w:r>
      <w:proofErr w:type="spellEnd"/>
      <w:r w:rsidR="008C670F" w:rsidRPr="000D346D">
        <w:t xml:space="preserve"> und </w:t>
      </w:r>
      <w:proofErr w:type="spellStart"/>
      <w:r w:rsidR="008C670F" w:rsidRPr="000D346D">
        <w:t>Risikobehandlung</w:t>
      </w:r>
      <w:proofErr w:type="spellEnd"/>
      <w:r w:rsidR="008C670F" w:rsidRPr="000D346D">
        <w:t xml:space="preserve"> </w:t>
      </w:r>
      <w:proofErr w:type="spellStart"/>
      <w:r w:rsidR="008C670F" w:rsidRPr="000D346D">
        <w:t>im</w:t>
      </w:r>
      <w:proofErr w:type="spellEnd"/>
      <w:r w:rsidR="008C670F" w:rsidRPr="000D346D">
        <w:t xml:space="preserve"> </w:t>
      </w:r>
      <w:proofErr w:type="spellStart"/>
      <w:r w:rsidR="008C670F" w:rsidRPr="000D346D">
        <w:t>Bereich</w:t>
      </w:r>
      <w:proofErr w:type="spellEnd"/>
      <w:r w:rsidR="008C670F" w:rsidRPr="000D346D">
        <w:t xml:space="preserve"> der </w:t>
      </w:r>
      <w:proofErr w:type="spellStart"/>
      <w:r w:rsidR="008C670F" w:rsidRPr="000D346D">
        <w:t>Informationssicherheit</w:t>
      </w:r>
      <w:proofErr w:type="spellEnd"/>
      <w:r w:rsidR="008C670F" w:rsidRPr="000D346D">
        <w:t xml:space="preserve"> </w:t>
      </w:r>
      <w:proofErr w:type="spellStart"/>
      <w:r w:rsidR="008C670F" w:rsidRPr="000D346D">
        <w:t>erfolgen</w:t>
      </w:r>
      <w:proofErr w:type="spellEnd"/>
      <w:r w:rsidR="008C670F" w:rsidRPr="000D346D">
        <w:t xml:space="preserve"> </w:t>
      </w:r>
      <w:proofErr w:type="spellStart"/>
      <w:r w:rsidR="008C670F" w:rsidRPr="000D346D">
        <w:t>sollen</w:t>
      </w:r>
      <w:proofErr w:type="spellEnd"/>
      <w:r w:rsidR="008C670F" w:rsidRPr="000D346D">
        <w:t>.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50917897"/>
      <w:bookmarkStart w:id="14" w:name="_Toc488826805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3"/>
      <w:bookmarkEnd w:id="14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8"/>
      <w:bookmarkStart w:id="16" w:name="_Toc488826806"/>
      <w:proofErr w:type="spellStart"/>
      <w:r w:rsidRPr="00316B9E">
        <w:rPr>
          <w:lang w:val="fr-FR"/>
        </w:rPr>
        <w:lastRenderedPageBreak/>
        <w:t>Beschre</w:t>
      </w:r>
      <w:r w:rsidR="00932B55" w:rsidRPr="00316B9E">
        <w:rPr>
          <w:lang w:val="fr-FR"/>
        </w:rPr>
        <w:t>ibung</w:t>
      </w:r>
      <w:proofErr w:type="spellEnd"/>
      <w:r w:rsidR="00932B55" w:rsidRPr="00316B9E">
        <w:rPr>
          <w:lang w:val="fr-FR"/>
        </w:rPr>
        <w:t xml:space="preserve"> der “</w:t>
      </w:r>
      <w:r w:rsidRPr="00316B9E">
        <w:rPr>
          <w:lang w:val="fr-FR"/>
        </w:rPr>
        <w:t>Méthode Optimi</w:t>
      </w:r>
      <w:r w:rsidR="00932B55" w:rsidRPr="00316B9E">
        <w:rPr>
          <w:lang w:val="fr-FR"/>
        </w:rPr>
        <w:t>sée d’Analyse des Risques CASES”</w:t>
      </w:r>
      <w:r w:rsidRPr="00316B9E">
        <w:rPr>
          <w:lang w:val="fr-FR"/>
        </w:rPr>
        <w:t xml:space="preserve"> (MONARC)</w:t>
      </w:r>
      <w:bookmarkEnd w:id="15"/>
      <w:bookmarkEnd w:id="16"/>
    </w:p>
    <w:p w:rsidR="003A0934" w:rsidRDefault="008C670F" w:rsidP="003A0934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3A0934" w:rsidRDefault="00316B9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13650AE3" wp14:editId="265F5FB6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8C670F" w:rsidP="003A0934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3A0934" w:rsidRDefault="00220CB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61FE9BAB" wp14:editId="3F3EFF4A">
            <wp:extent cx="5154930" cy="49186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608" cy="49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8C670F" w:rsidRPr="00BF5F9A" w:rsidRDefault="008C670F" w:rsidP="008C670F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795787" w:rsidRPr="00097EBA" w:rsidRDefault="008C670F" w:rsidP="008C670F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8C670F" w:rsidRPr="002F17A7" w:rsidRDefault="008C670F" w:rsidP="008C670F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8C670F" w:rsidRPr="000D2271" w:rsidRDefault="008C670F" w:rsidP="008C670F">
      <w:pPr>
        <w:spacing w:after="0"/>
        <w:rPr>
          <w:lang w:val="fr-LU"/>
        </w:rPr>
      </w:pPr>
      <w:proofErr w:type="spellStart"/>
      <w:r w:rsidRPr="000D2271">
        <w:rPr>
          <w:lang w:val="fr-LU"/>
        </w:rPr>
        <w:t>Diese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erste</w:t>
      </w:r>
      <w:proofErr w:type="spellEnd"/>
      <w:r w:rsidRPr="000D2271">
        <w:rPr>
          <w:lang w:val="fr-LU"/>
        </w:rPr>
        <w:t xml:space="preserve"> Phase </w:t>
      </w:r>
      <w:proofErr w:type="spellStart"/>
      <w:r w:rsidRPr="000D2271">
        <w:rPr>
          <w:lang w:val="fr-LU"/>
        </w:rPr>
        <w:t>besteht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darin</w:t>
      </w:r>
      <w:proofErr w:type="spellEnd"/>
      <w:r w:rsidRPr="000D2271">
        <w:rPr>
          <w:lang w:val="fr-LU"/>
        </w:rPr>
        <w:t xml:space="preserve">, den </w:t>
      </w:r>
      <w:proofErr w:type="spellStart"/>
      <w:r w:rsidRPr="000D2271">
        <w:rPr>
          <w:lang w:val="fr-LU"/>
        </w:rPr>
        <w:t>Kontext</w:t>
      </w:r>
      <w:proofErr w:type="spellEnd"/>
      <w:r w:rsidRPr="000D2271">
        <w:rPr>
          <w:lang w:val="fr-LU"/>
        </w:rPr>
        <w:t xml:space="preserve">, die </w:t>
      </w:r>
      <w:proofErr w:type="spellStart"/>
      <w:r w:rsidRPr="000D2271">
        <w:rPr>
          <w:lang w:val="fr-LU"/>
        </w:rPr>
        <w:t>Herausforderungen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und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Prioritäten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zu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bestimmen</w:t>
      </w:r>
      <w:proofErr w:type="spellEnd"/>
      <w:r w:rsidRPr="000D2271">
        <w:rPr>
          <w:lang w:val="fr-LU"/>
        </w:rPr>
        <w:t xml:space="preserve">, die </w:t>
      </w:r>
      <w:proofErr w:type="spellStart"/>
      <w:r w:rsidRPr="000D2271">
        <w:rPr>
          <w:lang w:val="fr-LU"/>
        </w:rPr>
        <w:t>kennzeichnend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für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das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Unternehmen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oder</w:t>
      </w:r>
      <w:proofErr w:type="spellEnd"/>
      <w:r w:rsidRPr="000D2271">
        <w:rPr>
          <w:lang w:val="fr-LU"/>
        </w:rPr>
        <w:t xml:space="preserve"> die Organisation </w:t>
      </w:r>
      <w:proofErr w:type="spellStart"/>
      <w:r w:rsidRPr="000D2271">
        <w:rPr>
          <w:lang w:val="fr-LU"/>
        </w:rPr>
        <w:t>sind</w:t>
      </w:r>
      <w:proofErr w:type="spellEnd"/>
      <w:r w:rsidRPr="000D2271">
        <w:rPr>
          <w:lang w:val="fr-LU"/>
        </w:rPr>
        <w:t xml:space="preserve">, </w:t>
      </w:r>
      <w:proofErr w:type="spellStart"/>
      <w:r w:rsidRPr="000D2271">
        <w:rPr>
          <w:lang w:val="fr-LU"/>
        </w:rPr>
        <w:t>das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bzw</w:t>
      </w:r>
      <w:proofErr w:type="spellEnd"/>
      <w:r w:rsidRPr="000D2271">
        <w:rPr>
          <w:lang w:val="fr-LU"/>
        </w:rPr>
        <w:t xml:space="preserve">. die </w:t>
      </w:r>
      <w:proofErr w:type="spellStart"/>
      <w:r w:rsidRPr="000D2271">
        <w:rPr>
          <w:lang w:val="fr-LU"/>
        </w:rPr>
        <w:t>eine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Risikoanalyse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vornehmen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möchte</w:t>
      </w:r>
      <w:proofErr w:type="spellEnd"/>
      <w:r w:rsidRPr="000D2271">
        <w:rPr>
          <w:lang w:val="fr-LU"/>
        </w:rPr>
        <w:t xml:space="preserve">. </w:t>
      </w:r>
    </w:p>
    <w:p w:rsidR="00466367" w:rsidRPr="00316B9E" w:rsidRDefault="008C670F" w:rsidP="008C670F">
      <w:pPr>
        <w:spacing w:after="0"/>
      </w:pPr>
      <w:r w:rsidRPr="000D2271">
        <w:rPr>
          <w:lang w:val="fr-LU"/>
        </w:rPr>
        <w:t xml:space="preserve">Es </w:t>
      </w:r>
      <w:proofErr w:type="spellStart"/>
      <w:r w:rsidRPr="000D2271">
        <w:rPr>
          <w:lang w:val="fr-LU"/>
        </w:rPr>
        <w:t>geht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darum</w:t>
      </w:r>
      <w:proofErr w:type="spellEnd"/>
      <w:r w:rsidRPr="000D2271">
        <w:rPr>
          <w:lang w:val="fr-LU"/>
        </w:rPr>
        <w:t xml:space="preserve">, </w:t>
      </w:r>
      <w:proofErr w:type="spellStart"/>
      <w:r w:rsidRPr="000D2271">
        <w:rPr>
          <w:lang w:val="fr-LU"/>
        </w:rPr>
        <w:t>insbesondere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wesentlichen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Aktivitäten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und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kritischen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Prozesse</w:t>
      </w:r>
      <w:proofErr w:type="spellEnd"/>
      <w:r w:rsidRPr="000D2271">
        <w:rPr>
          <w:lang w:val="fr-LU"/>
        </w:rPr>
        <w:t xml:space="preserve"> des </w:t>
      </w:r>
      <w:proofErr w:type="spellStart"/>
      <w:r w:rsidRPr="000D2271">
        <w:rPr>
          <w:lang w:val="fr-LU"/>
        </w:rPr>
        <w:t>Unternehmens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zu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identifizieren</w:t>
      </w:r>
      <w:proofErr w:type="spellEnd"/>
      <w:r w:rsidRPr="000D2271">
        <w:rPr>
          <w:lang w:val="fr-LU"/>
        </w:rPr>
        <w:t xml:space="preserve">, </w:t>
      </w:r>
      <w:proofErr w:type="spellStart"/>
      <w:r w:rsidRPr="000D2271">
        <w:rPr>
          <w:lang w:val="fr-LU"/>
        </w:rPr>
        <w:t>um</w:t>
      </w:r>
      <w:proofErr w:type="spellEnd"/>
      <w:r w:rsidRPr="000D2271">
        <w:rPr>
          <w:lang w:val="fr-LU"/>
        </w:rPr>
        <w:t xml:space="preserve"> die </w:t>
      </w:r>
      <w:proofErr w:type="spellStart"/>
      <w:r w:rsidRPr="000D2271">
        <w:rPr>
          <w:lang w:val="fr-LU"/>
        </w:rPr>
        <w:t>Risikoanalyse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an</w:t>
      </w:r>
      <w:proofErr w:type="spellEnd"/>
      <w:r w:rsidRPr="000D2271">
        <w:rPr>
          <w:lang w:val="fr-LU"/>
        </w:rPr>
        <w:t xml:space="preserve"> den </w:t>
      </w:r>
      <w:proofErr w:type="spellStart"/>
      <w:r w:rsidRPr="000D2271">
        <w:rPr>
          <w:lang w:val="fr-LU"/>
        </w:rPr>
        <w:t>wichtigsten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Elementen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ausrichten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zu</w:t>
      </w:r>
      <w:proofErr w:type="spellEnd"/>
      <w:r w:rsidRPr="000D2271">
        <w:rPr>
          <w:lang w:val="fr-LU"/>
        </w:rPr>
        <w:t xml:space="preserve"> </w:t>
      </w:r>
      <w:proofErr w:type="spellStart"/>
      <w:r w:rsidRPr="000D2271">
        <w:rPr>
          <w:lang w:val="fr-LU"/>
        </w:rPr>
        <w:t>können</w:t>
      </w:r>
      <w:proofErr w:type="spellEnd"/>
      <w:r w:rsidRPr="000D2271">
        <w:rPr>
          <w:lang w:val="fr-LU"/>
        </w:rPr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. 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8C670F" w:rsidRPr="000D346D" w:rsidRDefault="008C670F" w:rsidP="008C670F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8C670F" w:rsidRPr="000D346D" w:rsidRDefault="008C670F" w:rsidP="008C670F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8C670F" w:rsidRPr="000D346D" w:rsidRDefault="008C670F" w:rsidP="008C670F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314CFA" w:rsidRDefault="00314CFA" w:rsidP="008C670F">
      <w:pPr>
        <w:spacing w:after="0"/>
        <w:rPr>
          <w:b/>
          <w:bCs/>
        </w:rPr>
      </w:pPr>
    </w:p>
    <w:p w:rsidR="008C670F" w:rsidRPr="000D346D" w:rsidRDefault="008C670F" w:rsidP="008C670F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8C670F" w:rsidRPr="000D346D" w:rsidRDefault="008C670F" w:rsidP="008C670F">
      <w:pPr>
        <w:spacing w:before="240"/>
      </w:pPr>
      <w:r w:rsidRPr="000D346D">
        <w:t xml:space="preserve">An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8C670F" w:rsidRPr="00BF5F9A" w:rsidRDefault="008C670F" w:rsidP="008C670F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427FA5" w:rsidRPr="00BF5F9A" w:rsidRDefault="00427FA5" w:rsidP="006308F6">
      <w:pPr>
        <w:spacing w:before="240"/>
      </w:pPr>
      <w:r w:rsidRPr="00BF5F9A">
        <w:br w:type="page"/>
      </w:r>
    </w:p>
    <w:p w:rsidR="003A0934" w:rsidRPr="008C670F" w:rsidRDefault="008C670F" w:rsidP="00796FD0">
      <w:pPr>
        <w:pStyle w:val="Heading1"/>
        <w:numPr>
          <w:ilvl w:val="0"/>
          <w:numId w:val="1"/>
        </w:numPr>
        <w:rPr>
          <w:lang w:val="fr-LU"/>
        </w:rPr>
      </w:pPr>
      <w:bookmarkStart w:id="17" w:name="_Toc450917899"/>
      <w:bookmarkStart w:id="18" w:name="_Toc488826807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7"/>
      <w:bookmarkEnd w:id="18"/>
      <w:proofErr w:type="spellEnd"/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9" w:name="_Toc450917900"/>
      <w:bookmarkStart w:id="20" w:name="_Toc488826808"/>
      <w:bookmarkStart w:id="21" w:name="_Toc354489473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9"/>
      <w:bookmarkEnd w:id="20"/>
      <w:proofErr w:type="spellEnd"/>
      <w:r w:rsidR="003A0934" w:rsidRPr="00BD0171">
        <w:rPr>
          <w:lang w:val="fr-LU"/>
        </w:rPr>
        <w:t xml:space="preserve"> </w:t>
      </w:r>
      <w:bookmarkEnd w:id="21"/>
    </w:p>
    <w:p w:rsidR="003A0934" w:rsidRPr="007420DC" w:rsidRDefault="00435215" w:rsidP="008C670F">
      <w:pPr>
        <w:rPr>
          <w:sz w:val="10"/>
          <w:szCs w:val="10"/>
        </w:rPr>
      </w:pPr>
      <w:r w:rsidRPr="00233A4F">
        <w:t>${CONTEXT_GEST_RISK}</w:t>
      </w:r>
    </w:p>
    <w:p w:rsidR="003A0934" w:rsidRPr="00316B9E" w:rsidRDefault="008C670F" w:rsidP="00AA2D64">
      <w:pPr>
        <w:pStyle w:val="Heading2"/>
        <w:numPr>
          <w:ilvl w:val="1"/>
          <w:numId w:val="1"/>
        </w:numPr>
        <w:spacing w:before="0"/>
      </w:pPr>
      <w:bookmarkStart w:id="22" w:name="_Toc354489474"/>
      <w:bookmarkStart w:id="23" w:name="_Toc450917901"/>
      <w:bookmarkStart w:id="24" w:name="_Toc488826809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2"/>
      <w:bookmarkEnd w:id="23"/>
      <w:bookmarkEnd w:id="24"/>
      <w:proofErr w:type="spellEnd"/>
    </w:p>
    <w:p w:rsidR="003A0934" w:rsidRDefault="008C670F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5" w:name="_Toc354489475"/>
      <w:bookmarkStart w:id="26" w:name="_Toc450917902"/>
      <w:bookmarkStart w:id="27" w:name="_Toc488826810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25"/>
      <w:bookmarkEnd w:id="26"/>
      <w:bookmarkEnd w:id="27"/>
      <w:proofErr w:type="spellEnd"/>
    </w:p>
    <w:p w:rsidR="008C670F" w:rsidRPr="000D346D" w:rsidRDefault="008C670F" w:rsidP="008C670F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3A0934" w:rsidRPr="00316B9E" w:rsidRDefault="004E3A44" w:rsidP="00427FA5">
      <w:r w:rsidRPr="00316B9E">
        <w:t>${SCALE_IMPACT}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28" w:name="_Toc450917903"/>
      <w:bookmarkStart w:id="29" w:name="_Toc488826811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28"/>
      <w:bookmarkEnd w:id="29"/>
      <w:proofErr w:type="spellEnd"/>
    </w:p>
    <w:p w:rsidR="008C670F" w:rsidRPr="000D346D" w:rsidRDefault="008C670F" w:rsidP="008C670F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3A0934" w:rsidRPr="00316B9E" w:rsidRDefault="003A0934" w:rsidP="003A0934">
      <w:pPr>
        <w:spacing w:after="0"/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8C670F" w:rsidRPr="000D346D" w:rsidRDefault="008C670F" w:rsidP="008C670F">
      <w:pPr>
        <w:pStyle w:val="Heading3"/>
        <w:numPr>
          <w:ilvl w:val="2"/>
          <w:numId w:val="1"/>
        </w:numPr>
      </w:pPr>
      <w:bookmarkStart w:id="30" w:name="_Toc450917904"/>
      <w:bookmarkStart w:id="31" w:name="_Toc4888268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30"/>
      <w:bookmarkEnd w:id="31"/>
      <w:proofErr w:type="spellEnd"/>
    </w:p>
    <w:p w:rsidR="00AB301C" w:rsidRPr="000D346D" w:rsidRDefault="00AB301C" w:rsidP="00AB301C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432CA" w:rsidRPr="00316B9E" w:rsidRDefault="00A432CA" w:rsidP="00252A06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B301C" w:rsidRPr="000D346D" w:rsidRDefault="00AB301C" w:rsidP="00AB301C">
      <w:pPr>
        <w:pStyle w:val="Heading3"/>
        <w:numPr>
          <w:ilvl w:val="2"/>
          <w:numId w:val="1"/>
        </w:numPr>
      </w:pPr>
      <w:bookmarkStart w:id="32" w:name="_Toc450917905"/>
      <w:bookmarkStart w:id="33" w:name="_Toc488826813"/>
      <w:proofErr w:type="spellStart"/>
      <w:r w:rsidRPr="000D346D">
        <w:lastRenderedPageBreak/>
        <w:t>Tabelle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und </w:t>
      </w:r>
      <w:proofErr w:type="spellStart"/>
      <w:r w:rsidRPr="000D346D">
        <w:t>Risikoakzeptanzschwellen</w:t>
      </w:r>
      <w:bookmarkEnd w:id="32"/>
      <w:bookmarkEnd w:id="33"/>
      <w:proofErr w:type="spellEnd"/>
    </w:p>
    <w:p w:rsidR="00AB301C" w:rsidRPr="00AB301C" w:rsidRDefault="00AB301C" w:rsidP="00AB301C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B301C" w:rsidRPr="00AB301C" w:rsidRDefault="00316B9E" w:rsidP="00AB301C">
      <w:pPr>
        <w:ind w:firstLine="709"/>
        <w:rPr>
          <w:color w:val="000000" w:themeColor="text1"/>
        </w:rPr>
      </w:pPr>
      <w:r>
        <w:rPr>
          <w:color w:val="000000" w:themeColor="text1"/>
        </w:rPr>
        <w:t>Rot </w:t>
      </w:r>
      <w:r w:rsidR="00AB301C" w:rsidRPr="00AB301C">
        <w:rPr>
          <w:color w:val="000000" w:themeColor="text1"/>
        </w:rPr>
        <w:t xml:space="preserve">: </w:t>
      </w:r>
      <w:proofErr w:type="spellStart"/>
      <w:r w:rsidR="00AB301C" w:rsidRPr="00AB301C">
        <w:rPr>
          <w:color w:val="000000" w:themeColor="text1"/>
        </w:rPr>
        <w:t>Inakzeptables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Risiko</w:t>
      </w:r>
      <w:proofErr w:type="spellEnd"/>
      <w:r w:rsidR="00AB301C" w:rsidRPr="00AB301C">
        <w:rPr>
          <w:color w:val="000000" w:themeColor="text1"/>
        </w:rPr>
        <w:t xml:space="preserve">, </w:t>
      </w:r>
      <w:proofErr w:type="spellStart"/>
      <w:r w:rsidR="00AB301C" w:rsidRPr="00AB301C">
        <w:rPr>
          <w:color w:val="000000" w:themeColor="text1"/>
        </w:rPr>
        <w:t>dem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entgegengewirkt</w:t>
      </w:r>
      <w:proofErr w:type="spellEnd"/>
      <w:r w:rsidR="00AB301C" w:rsidRPr="00AB301C">
        <w:rPr>
          <w:color w:val="000000" w:themeColor="text1"/>
        </w:rPr>
        <w:t xml:space="preserve"> </w:t>
      </w:r>
      <w:proofErr w:type="spellStart"/>
      <w:r w:rsidR="00AB301C" w:rsidRPr="00AB301C">
        <w:rPr>
          <w:color w:val="000000" w:themeColor="text1"/>
        </w:rPr>
        <w:t>werden</w:t>
      </w:r>
      <w:proofErr w:type="spellEnd"/>
      <w:r w:rsidR="00AB301C" w:rsidRPr="00AB301C">
        <w:rPr>
          <w:color w:val="000000" w:themeColor="text1"/>
        </w:rPr>
        <w:t xml:space="preserve"> muss.</w:t>
      </w:r>
    </w:p>
    <w:p w:rsidR="00AB301C" w:rsidRPr="00AB301C" w:rsidRDefault="00AB301C" w:rsidP="00AB301C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B301C" w:rsidRPr="00AB301C" w:rsidRDefault="00AB301C" w:rsidP="00AB301C">
      <w:pPr>
        <w:ind w:firstLine="709"/>
        <w:rPr>
          <w:color w:val="000000" w:themeColor="text1"/>
        </w:rPr>
      </w:pPr>
      <w:proofErr w:type="spell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 xml:space="preserve"> :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125EAB" w:rsidRDefault="00125EAB" w:rsidP="00125EAB">
      <w:pPr>
        <w:pStyle w:val="Heading2"/>
        <w:snapToGrid w:val="0"/>
        <w:ind w:firstLine="709"/>
      </w:pPr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proofErr w:type="spellEnd"/>
    </w:p>
    <w:p w:rsidR="003B6419" w:rsidRPr="003B6419" w:rsidRDefault="003B6419" w:rsidP="003B6419"/>
    <w:p w:rsidR="006C751B" w:rsidRPr="00125EAB" w:rsidRDefault="006C751B" w:rsidP="006C751B">
      <w:pPr>
        <w:jc w:val="center"/>
      </w:pPr>
      <w:r w:rsidRPr="00125EAB">
        <w:t>${TABLE_RISKS}</w:t>
      </w:r>
    </w:p>
    <w:p w:rsidR="003B6419" w:rsidRDefault="003B6419" w:rsidP="00125EAB">
      <w:pPr>
        <w:pStyle w:val="Heading3"/>
        <w:ind w:firstLine="709"/>
      </w:pPr>
    </w:p>
    <w:p w:rsidR="00125EAB" w:rsidRDefault="00125EAB" w:rsidP="00125EAB">
      <w:pPr>
        <w:pStyle w:val="Heading3"/>
        <w:ind w:firstLine="709"/>
      </w:pPr>
      <w:r w:rsidRPr="00125EAB">
        <w:t xml:space="preserve">Operative </w:t>
      </w:r>
      <w:proofErr w:type="spellStart"/>
      <w:r w:rsidRPr="00125EAB">
        <w:t>Risiken</w:t>
      </w:r>
      <w:proofErr w:type="spellEnd"/>
    </w:p>
    <w:p w:rsidR="003B6419" w:rsidRPr="003B6419" w:rsidRDefault="003B6419" w:rsidP="003B6419"/>
    <w:p w:rsidR="00A4628D" w:rsidRDefault="00125EAB" w:rsidP="00125EAB">
      <w:pPr>
        <w:jc w:val="center"/>
      </w:pPr>
      <w:r w:rsidRPr="00125EAB">
        <w:t>${TABLE_</w:t>
      </w:r>
      <w:r>
        <w:t>OP_</w:t>
      </w:r>
      <w:r w:rsidRPr="00125EAB">
        <w:t>RISKS}</w:t>
      </w:r>
    </w:p>
    <w:p w:rsidR="00A4628D" w:rsidRDefault="00A4628D">
      <w:pPr>
        <w:spacing w:after="200" w:line="276" w:lineRule="auto"/>
        <w:ind w:right="0"/>
        <w:jc w:val="left"/>
      </w:pPr>
      <w:r>
        <w:br w:type="page"/>
      </w:r>
    </w:p>
    <w:p w:rsidR="00AB301C" w:rsidRPr="00316B9E" w:rsidRDefault="00AB301C" w:rsidP="00125EAB">
      <w:pPr>
        <w:pStyle w:val="Heading2"/>
        <w:numPr>
          <w:ilvl w:val="1"/>
          <w:numId w:val="1"/>
        </w:numPr>
      </w:pPr>
      <w:bookmarkStart w:id="34" w:name="_Toc450917906"/>
      <w:bookmarkStart w:id="35" w:name="_Toc488826814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34"/>
      <w:bookmarkEnd w:id="35"/>
      <w:proofErr w:type="spellEnd"/>
      <w:r w:rsidRPr="00316B9E">
        <w:t xml:space="preserve"> </w:t>
      </w:r>
    </w:p>
    <w:p w:rsidR="003A0934" w:rsidRPr="002F17A7" w:rsidRDefault="001E5A29" w:rsidP="00AB301C">
      <w:pPr>
        <w:rPr>
          <w:sz w:val="10"/>
          <w:szCs w:val="10"/>
        </w:rPr>
      </w:pPr>
      <w:r w:rsidRPr="002F17A7">
        <w:t>${SYNTH_EVAL_THREAT}</w:t>
      </w:r>
    </w:p>
    <w:p w:rsidR="00AB301C" w:rsidRPr="000D346D" w:rsidRDefault="00AB301C" w:rsidP="00AB301C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2B3790" w:rsidRPr="00BF5F9A" w:rsidRDefault="002B3790" w:rsidP="002B3790">
      <w:pPr>
        <w:spacing w:after="0"/>
      </w:pPr>
    </w:p>
    <w:p w:rsidR="00A4628D" w:rsidRDefault="007450F4" w:rsidP="00AA2D64">
      <w:pPr>
        <w:rPr>
          <w:lang w:val="fr-LU"/>
        </w:rPr>
      </w:pPr>
      <w:r w:rsidRPr="00CB2B7E">
        <w:t>${TABLE_THREATS}</w:t>
      </w:r>
    </w:p>
    <w:p w:rsidR="00A4628D" w:rsidRDefault="00A4628D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3A0934" w:rsidRPr="00252A06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36" w:name="_Toc450917908"/>
      <w:bookmarkStart w:id="37" w:name="_Toc488826815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</w:t>
      </w:r>
      <w:bookmarkStart w:id="38" w:name="_GoBack"/>
      <w:bookmarkEnd w:id="38"/>
      <w:r w:rsidRPr="000D346D">
        <w:t>textes</w:t>
      </w:r>
      <w:bookmarkEnd w:id="36"/>
      <w:bookmarkEnd w:id="37"/>
      <w:proofErr w:type="spellEnd"/>
    </w:p>
    <w:p w:rsidR="003A0934" w:rsidRPr="002B3790" w:rsidRDefault="00252A06" w:rsidP="00125EAB">
      <w:pPr>
        <w:pStyle w:val="Heading2"/>
        <w:numPr>
          <w:ilvl w:val="1"/>
          <w:numId w:val="1"/>
        </w:numPr>
        <w:rPr>
          <w:lang w:val="fr-LU"/>
        </w:rPr>
      </w:pPr>
      <w:bookmarkStart w:id="39" w:name="_Toc450917909"/>
      <w:bookmarkStart w:id="40" w:name="_Toc488826816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39"/>
      <w:bookmarkEnd w:id="40"/>
      <w:r w:rsidR="003A0934" w:rsidRPr="002B3790">
        <w:rPr>
          <w:lang w:val="fr-LU"/>
        </w:rPr>
        <w:t xml:space="preserve"> </w:t>
      </w:r>
    </w:p>
    <w:p w:rsidR="003A0934" w:rsidRPr="007420DC" w:rsidRDefault="004C1CD4" w:rsidP="00252A06">
      <w:pPr>
        <w:rPr>
          <w:sz w:val="10"/>
          <w:szCs w:val="10"/>
          <w:lang w:val="fr-LU"/>
        </w:rPr>
      </w:pPr>
      <w:r w:rsidRPr="002B3790">
        <w:t>${SYNTH_ACTIF}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pacing w:before="0"/>
      </w:pPr>
      <w:bookmarkStart w:id="41" w:name="_Toc450917910"/>
      <w:bookmarkStart w:id="42" w:name="_Toc488826817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41"/>
      <w:bookmarkEnd w:id="42"/>
      <w:proofErr w:type="spellEnd"/>
      <w:r w:rsidRPr="000D346D">
        <w:t xml:space="preserve"> </w:t>
      </w:r>
    </w:p>
    <w:p w:rsidR="00252A06" w:rsidRPr="00252A06" w:rsidRDefault="00252A06" w:rsidP="00252A06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252A06" w:rsidRPr="00252A06" w:rsidRDefault="00252A06" w:rsidP="00252A06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</w:pPr>
      <w:bookmarkStart w:id="43" w:name="_Toc450917911"/>
      <w:bookmarkStart w:id="44" w:name="_Toc488826818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43"/>
      <w:bookmarkEnd w:id="44"/>
      <w:proofErr w:type="spellEnd"/>
    </w:p>
    <w:p w:rsidR="00252A06" w:rsidRPr="00252A06" w:rsidRDefault="00252A06" w:rsidP="00252A06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252A06" w:rsidRPr="00BF5F9A" w:rsidRDefault="00252A06" w:rsidP="00252A06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252A06" w:rsidRPr="00BF5F9A" w:rsidRDefault="00252A06" w:rsidP="00252A06">
      <w:pPr>
        <w:spacing w:after="0"/>
      </w:pPr>
    </w:p>
    <w:p w:rsidR="00427FA5" w:rsidRPr="00252A06" w:rsidRDefault="00950C7E" w:rsidP="00252A06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  <w:r w:rsidR="00427FA5" w:rsidRPr="00252A06">
        <w:rPr>
          <w:lang w:val="fr-LU"/>
        </w:rPr>
        <w:br w:type="page"/>
      </w:r>
    </w:p>
    <w:p w:rsidR="003A0934" w:rsidRPr="009E5378" w:rsidRDefault="00252A06" w:rsidP="00125EAB">
      <w:pPr>
        <w:pStyle w:val="Heading1"/>
        <w:numPr>
          <w:ilvl w:val="0"/>
          <w:numId w:val="1"/>
        </w:numPr>
        <w:rPr>
          <w:lang w:val="fr-LU"/>
        </w:rPr>
      </w:pPr>
      <w:bookmarkStart w:id="45" w:name="_Toc450917912"/>
      <w:bookmarkStart w:id="46" w:name="_Toc488826819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45"/>
      <w:bookmarkEnd w:id="46"/>
      <w:proofErr w:type="spellEnd"/>
      <w:r w:rsidRPr="009E5378">
        <w:rPr>
          <w:lang w:val="fr-LU"/>
        </w:rPr>
        <w:t xml:space="preserve"> </w:t>
      </w:r>
    </w:p>
    <w:p w:rsidR="00252A06" w:rsidRPr="000D346D" w:rsidRDefault="00252A06" w:rsidP="00252A06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 w:rsidR="00267FDE"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252A06" w:rsidRPr="000D346D" w:rsidRDefault="00252A06" w:rsidP="00252A06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proofErr w:type="gramStart"/>
      <w:r w:rsidRPr="000D346D">
        <w:t>sind</w:t>
      </w:r>
      <w:proofErr w:type="spellEnd"/>
      <w:proofErr w:type="gram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252A06" w:rsidRPr="000D346D" w:rsidRDefault="00252A06" w:rsidP="00125EAB">
      <w:pPr>
        <w:pStyle w:val="Heading2"/>
        <w:numPr>
          <w:ilvl w:val="1"/>
          <w:numId w:val="1"/>
        </w:numPr>
        <w:snapToGrid w:val="0"/>
      </w:pPr>
      <w:bookmarkStart w:id="47" w:name="_Toc450917913"/>
      <w:bookmarkStart w:id="48" w:name="_Toc488826820"/>
      <w:bookmarkStart w:id="49" w:name="_Toc360469787"/>
      <w:bookmarkStart w:id="50" w:name="_Ref415751951"/>
      <w:bookmarkStart w:id="51" w:name="_Ref41575196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47"/>
      <w:bookmarkEnd w:id="48"/>
      <w:proofErr w:type="spellEnd"/>
    </w:p>
    <w:bookmarkEnd w:id="49"/>
    <w:bookmarkEnd w:id="50"/>
    <w:bookmarkEnd w:id="51"/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5E15" w:rsidRDefault="009A5E15" w:rsidP="009A5E15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C18CB" w:rsidRPr="0027510C" w:rsidRDefault="00DC18CB" w:rsidP="009A5E15">
      <w:pPr>
        <w:rPr>
          <w:lang w:val="fr-LU"/>
        </w:rPr>
      </w:pP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F17A7" w:rsidRDefault="002F17A7" w:rsidP="003E339B">
      <w:pPr>
        <w:rPr>
          <w:highlight w:val="yellow"/>
          <w:lang w:val="fr-LU"/>
        </w:rPr>
      </w:pPr>
      <w:r>
        <w:rPr>
          <w:highlight w:val="yellow"/>
          <w:lang w:val="fr-LU"/>
        </w:rPr>
        <w:br w:type="page"/>
      </w:r>
    </w:p>
    <w:p w:rsidR="002F17A7" w:rsidRDefault="002F17A7" w:rsidP="003E339B">
      <w:pPr>
        <w:rPr>
          <w:highlight w:val="yellow"/>
          <w:lang w:val="fr-LU"/>
        </w:rPr>
        <w:sectPr w:rsidR="002F17A7" w:rsidSect="00C1526F">
          <w:headerReference w:type="default" r:id="rId11"/>
          <w:footerReference w:type="default" r:id="rId12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252A06" w:rsidRPr="000D346D" w:rsidRDefault="00252A06" w:rsidP="00252A06">
      <w:pPr>
        <w:pStyle w:val="Heading2"/>
        <w:numPr>
          <w:ilvl w:val="1"/>
          <w:numId w:val="8"/>
        </w:numPr>
        <w:snapToGrid w:val="0"/>
      </w:pPr>
      <w:bookmarkStart w:id="52" w:name="_Toc450917914"/>
      <w:bookmarkStart w:id="53" w:name="_Toc488826821"/>
      <w:bookmarkStart w:id="54" w:name="_Toc360469788"/>
      <w:proofErr w:type="spellStart"/>
      <w:r w:rsidRPr="000D346D">
        <w:lastRenderedPageBreak/>
        <w:t>Risikobehandlung</w:t>
      </w:r>
      <w:bookmarkEnd w:id="52"/>
      <w:bookmarkEnd w:id="53"/>
      <w:proofErr w:type="spellEnd"/>
    </w:p>
    <w:bookmarkEnd w:id="54"/>
    <w:p w:rsidR="00252A06" w:rsidRDefault="00252A06" w:rsidP="00252A06"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die </w:t>
      </w:r>
      <w:proofErr w:type="spellStart"/>
      <w:r w:rsidRPr="000D346D">
        <w:t>wichtigsten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auf </w:t>
      </w:r>
      <w:proofErr w:type="spellStart"/>
      <w:r w:rsidRPr="000D346D">
        <w:t>Grundlage</w:t>
      </w:r>
      <w:proofErr w:type="spellEnd"/>
      <w:r w:rsidRPr="000D346D">
        <w:t xml:space="preserve"> der </w:t>
      </w:r>
      <w:proofErr w:type="spellStart"/>
      <w:r w:rsidRPr="000D346D">
        <w:t>Risikoanalyse</w:t>
      </w:r>
      <w:proofErr w:type="spellEnd"/>
      <w:r w:rsidRPr="000D346D">
        <w:t xml:space="preserve"> und des </w:t>
      </w:r>
      <w:proofErr w:type="spellStart"/>
      <w:r w:rsidRPr="000D346D">
        <w:t>Risikobehandlungsplans</w:t>
      </w:r>
      <w:proofErr w:type="spellEnd"/>
      <w:r w:rsidRPr="000D346D">
        <w:t xml:space="preserve">. Die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richten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nach</w:t>
      </w:r>
      <w:proofErr w:type="spellEnd"/>
      <w:r w:rsidRPr="000D346D">
        <w:t xml:space="preserve"> </w:t>
      </w:r>
      <w:proofErr w:type="spellStart"/>
      <w:r w:rsidRPr="000D346D">
        <w:t>folgender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>:</w:t>
      </w:r>
    </w:p>
    <w:p w:rsidR="00252A06" w:rsidRPr="00BF5F9A" w:rsidRDefault="002F17A7" w:rsidP="00252A06">
      <w:pPr>
        <w:ind w:firstLine="709"/>
      </w:pPr>
      <w:r w:rsidRPr="002F17A7">
        <w:rPr>
          <w:color w:val="FF0000"/>
        </w:rPr>
        <w:t>●●●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schnelles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>.</w:t>
      </w:r>
    </w:p>
    <w:p w:rsidR="00252A06" w:rsidRPr="00BF5F9A" w:rsidRDefault="002F17A7" w:rsidP="00252A06">
      <w:pPr>
        <w:ind w:left="1416" w:hanging="707"/>
      </w:pPr>
      <w:r>
        <w:rPr>
          <w:color w:val="FF0000"/>
        </w:rPr>
        <w:t>●●</w:t>
      </w:r>
      <w:r w:rsidR="00252A06" w:rsidRPr="00BF5F9A">
        <w:rPr>
          <w:color w:val="FF0000"/>
        </w:rPr>
        <w:tab/>
      </w:r>
      <w:r w:rsidR="00252A06" w:rsidRPr="00BF5F9A">
        <w:t xml:space="preserve">: </w:t>
      </w:r>
      <w:proofErr w:type="spellStart"/>
      <w:r w:rsidR="00252A06" w:rsidRPr="00BF5F9A">
        <w:t>Empfehlung</w:t>
      </w:r>
      <w:proofErr w:type="spellEnd"/>
      <w:r w:rsidR="00252A06" w:rsidRPr="00BF5F9A">
        <w:t xml:space="preserve">, die </w:t>
      </w:r>
      <w:proofErr w:type="spellStart"/>
      <w:r w:rsidR="00252A06" w:rsidRPr="00BF5F9A">
        <w:t>ein</w:t>
      </w:r>
      <w:proofErr w:type="spellEnd"/>
      <w:r w:rsidR="00252A06" w:rsidRPr="00BF5F9A">
        <w:t xml:space="preserve"> </w:t>
      </w:r>
      <w:proofErr w:type="spellStart"/>
      <w:r w:rsidR="00252A06" w:rsidRPr="00BF5F9A">
        <w:t>Handeln</w:t>
      </w:r>
      <w:proofErr w:type="spellEnd"/>
      <w:r w:rsidR="00252A06" w:rsidRPr="00BF5F9A">
        <w:t xml:space="preserve"> </w:t>
      </w:r>
      <w:proofErr w:type="spellStart"/>
      <w:r w:rsidR="00252A06" w:rsidRPr="00BF5F9A">
        <w:t>erfordert</w:t>
      </w:r>
      <w:proofErr w:type="spellEnd"/>
      <w:r w:rsidR="00252A06" w:rsidRPr="00BF5F9A">
        <w:t xml:space="preserve">, </w:t>
      </w:r>
      <w:proofErr w:type="spellStart"/>
      <w:r w:rsidR="00252A06" w:rsidRPr="00BF5F9A">
        <w:t>mit</w:t>
      </w:r>
      <w:proofErr w:type="spellEnd"/>
      <w:r w:rsidR="00252A06" w:rsidRPr="00BF5F9A">
        <w:t xml:space="preserve"> </w:t>
      </w:r>
      <w:proofErr w:type="spellStart"/>
      <w:r w:rsidR="00252A06" w:rsidRPr="00BF5F9A">
        <w:t>dem</w:t>
      </w:r>
      <w:proofErr w:type="spellEnd"/>
      <w:r w:rsidR="00252A06" w:rsidRPr="00BF5F9A">
        <w:t xml:space="preserve"> </w:t>
      </w:r>
      <w:proofErr w:type="spellStart"/>
      <w:r w:rsidR="00252A06" w:rsidRPr="00BF5F9A">
        <w:t>einer</w:t>
      </w:r>
      <w:proofErr w:type="spellEnd"/>
      <w:r w:rsidR="00252A06" w:rsidRPr="00BF5F9A">
        <w:t xml:space="preserve"> </w:t>
      </w:r>
      <w:proofErr w:type="spellStart"/>
      <w:r w:rsidR="00252A06" w:rsidRPr="00BF5F9A">
        <w:t>Sicherheitslücke</w:t>
      </w:r>
      <w:proofErr w:type="spellEnd"/>
      <w:r w:rsidR="00252A06" w:rsidRPr="00BF5F9A">
        <w:t xml:space="preserve"> </w:t>
      </w:r>
      <w:proofErr w:type="spellStart"/>
      <w:proofErr w:type="gramStart"/>
      <w:r w:rsidR="00252A06" w:rsidRPr="00BF5F9A">
        <w:t>oder</w:t>
      </w:r>
      <w:proofErr w:type="spellEnd"/>
      <w:proofErr w:type="gramEnd"/>
      <w:r w:rsidR="00252A06" w:rsidRPr="00BF5F9A">
        <w:t xml:space="preserve"> </w:t>
      </w:r>
      <w:proofErr w:type="spellStart"/>
      <w:r w:rsidR="00252A06" w:rsidRPr="00BF5F9A">
        <w:t>fehlenden</w:t>
      </w:r>
      <w:proofErr w:type="spellEnd"/>
      <w:r w:rsidR="00252A06" w:rsidRPr="00BF5F9A">
        <w:t xml:space="preserve"> Best Practices </w:t>
      </w:r>
      <w:proofErr w:type="spellStart"/>
      <w:r w:rsidR="00252A06" w:rsidRPr="00BF5F9A">
        <w:t>entgegengewirkt</w:t>
      </w:r>
      <w:proofErr w:type="spellEnd"/>
      <w:r w:rsidR="00252A06" w:rsidRPr="00BF5F9A">
        <w:t xml:space="preserve"> </w:t>
      </w:r>
      <w:proofErr w:type="spellStart"/>
      <w:r w:rsidR="00252A06" w:rsidRPr="00BF5F9A">
        <w:t>werden</w:t>
      </w:r>
      <w:proofErr w:type="spellEnd"/>
      <w:r w:rsidR="00252A06" w:rsidRPr="00BF5F9A">
        <w:t xml:space="preserve"> </w:t>
      </w:r>
      <w:proofErr w:type="spellStart"/>
      <w:r w:rsidR="00252A06" w:rsidRPr="00BF5F9A">
        <w:t>soll</w:t>
      </w:r>
      <w:proofErr w:type="spellEnd"/>
      <w:r w:rsidR="00252A06" w:rsidRPr="00BF5F9A">
        <w:t>.</w:t>
      </w:r>
    </w:p>
    <w:p w:rsidR="00252A06" w:rsidRPr="00316B9E" w:rsidRDefault="00252A06" w:rsidP="00252A06">
      <w:r w:rsidRPr="00BF5F9A">
        <w:tab/>
      </w:r>
      <w:r w:rsidR="002F17A7"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2F17A7" w:rsidRPr="00EF7070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5" w:name="_Toc488826822"/>
      <w:proofErr w:type="spellStart"/>
      <w:r w:rsidRPr="002F17A7">
        <w:rPr>
          <w:lang w:val="fr-LU"/>
        </w:rPr>
        <w:t>Risiken</w:t>
      </w:r>
      <w:proofErr w:type="spellEnd"/>
      <w:r w:rsidRPr="002F17A7">
        <w:rPr>
          <w:lang w:val="fr-LU"/>
        </w:rPr>
        <w:t xml:space="preserve"> der </w:t>
      </w:r>
      <w:proofErr w:type="spellStart"/>
      <w:r w:rsidRPr="002F17A7">
        <w:rPr>
          <w:lang w:val="fr-LU"/>
        </w:rPr>
        <w:t>Informationen</w:t>
      </w:r>
      <w:bookmarkEnd w:id="55"/>
      <w:proofErr w:type="spellEnd"/>
    </w:p>
    <w:p w:rsidR="002F17A7" w:rsidRDefault="002F17A7" w:rsidP="002F17A7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2F17A7" w:rsidRDefault="002F17A7" w:rsidP="00125EAB">
      <w:pPr>
        <w:pStyle w:val="Heading3"/>
        <w:numPr>
          <w:ilvl w:val="2"/>
          <w:numId w:val="1"/>
        </w:numPr>
        <w:rPr>
          <w:lang w:val="fr-LU"/>
        </w:rPr>
      </w:pPr>
      <w:bookmarkStart w:id="56" w:name="_Toc488826823"/>
      <w:proofErr w:type="spellStart"/>
      <w:r w:rsidRPr="002F17A7">
        <w:rPr>
          <w:lang w:val="fr-LU"/>
        </w:rPr>
        <w:t>Operative</w:t>
      </w:r>
      <w:proofErr w:type="spellEnd"/>
      <w:r w:rsidRPr="002F17A7">
        <w:rPr>
          <w:lang w:val="fr-LU"/>
        </w:rPr>
        <w:t xml:space="preserve"> </w:t>
      </w:r>
      <w:proofErr w:type="spellStart"/>
      <w:r w:rsidRPr="002F17A7">
        <w:rPr>
          <w:lang w:val="fr-LU"/>
        </w:rPr>
        <w:t>Risiken</w:t>
      </w:r>
      <w:bookmarkEnd w:id="56"/>
      <w:proofErr w:type="spellEnd"/>
    </w:p>
    <w:p w:rsidR="002F17A7" w:rsidRDefault="002F17A7" w:rsidP="002F17A7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2F17A7" w:rsidRDefault="003A0934" w:rsidP="003A0934">
      <w:pPr>
        <w:spacing w:after="200" w:line="276" w:lineRule="auto"/>
        <w:ind w:right="0"/>
        <w:jc w:val="left"/>
        <w:sectPr w:rsidR="002F17A7" w:rsidSect="002F17A7">
          <w:headerReference w:type="default" r:id="rId13"/>
          <w:footerReference w:type="default" r:id="rId14"/>
          <w:pgSz w:w="16838" w:h="11906" w:orient="landscape" w:code="9"/>
          <w:pgMar w:top="431" w:right="1440" w:bottom="1140" w:left="1140" w:header="561" w:footer="561" w:gutter="561"/>
          <w:cols w:space="708"/>
          <w:docGrid w:linePitch="360"/>
        </w:sectPr>
      </w:pPr>
      <w:r w:rsidRPr="00316B9E">
        <w:br w:type="page"/>
      </w:r>
    </w:p>
    <w:p w:rsidR="003A0934" w:rsidRPr="00316B9E" w:rsidRDefault="00252A06" w:rsidP="003A0934">
      <w:pPr>
        <w:pStyle w:val="Heading1"/>
      </w:pPr>
      <w:bookmarkStart w:id="57" w:name="_Toc450917915"/>
      <w:bookmarkStart w:id="58" w:name="_Toc488826824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57"/>
      <w:bookmarkEnd w:id="58"/>
      <w:proofErr w:type="spellEnd"/>
    </w:p>
    <w:p w:rsidR="00252A06" w:rsidRPr="000D346D" w:rsidRDefault="00252A06" w:rsidP="00252A06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27510C" w:rsidRDefault="00252A06" w:rsidP="00314CFA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176EE4" w:rsidRPr="00314CFA" w:rsidRDefault="00176EE4" w:rsidP="00314CFA"/>
    <w:p w:rsidR="003D67C6" w:rsidRPr="00316B9E" w:rsidRDefault="00FD28AC" w:rsidP="0027510C">
      <w:pPr>
        <w:jc w:val="left"/>
      </w:pPr>
      <w:r w:rsidRPr="00316B9E">
        <w:t>${TABLE_INTERVIEW}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59" w:name="_Toc450917916"/>
      <w:bookmarkStart w:id="60" w:name="_Toc488826825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59"/>
      <w:bookmarkEnd w:id="60"/>
      <w:proofErr w:type="spellEnd"/>
    </w:p>
    <w:p w:rsidR="003D67C6" w:rsidRPr="00316B9E" w:rsidRDefault="00CE2A6D" w:rsidP="00543F65">
      <w:r w:rsidRPr="00316B9E">
        <w:t>${TABLE_EVAL_TEND}</w:t>
      </w:r>
      <w:r w:rsidR="003D67C6" w:rsidRPr="00316B9E">
        <w:br w:type="page"/>
      </w:r>
    </w:p>
    <w:p w:rsidR="003A0934" w:rsidRPr="00316B9E" w:rsidRDefault="00252A06" w:rsidP="003A0934">
      <w:pPr>
        <w:pStyle w:val="Heading1"/>
      </w:pPr>
      <w:bookmarkStart w:id="61" w:name="_Toc450917917"/>
      <w:bookmarkStart w:id="62" w:name="_Toc488826826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61"/>
      <w:bookmarkEnd w:id="62"/>
      <w:proofErr w:type="spellEnd"/>
    </w:p>
    <w:p w:rsidR="003D67C6" w:rsidRPr="00316B9E" w:rsidRDefault="00065DBC" w:rsidP="00543F65">
      <w:r w:rsidRPr="00316B9E">
        <w:t>${TABLE_THREATS_FULL}</w:t>
      </w:r>
      <w:r w:rsidR="003D67C6" w:rsidRPr="00316B9E">
        <w:br w:type="page"/>
      </w:r>
    </w:p>
    <w:p w:rsidR="003A0934" w:rsidRPr="00316B9E" w:rsidRDefault="00252A06" w:rsidP="007E221E">
      <w:pPr>
        <w:pStyle w:val="Heading1"/>
        <w:jc w:val="left"/>
      </w:pPr>
      <w:bookmarkStart w:id="63" w:name="_Toc450917918"/>
      <w:bookmarkStart w:id="64" w:name="_Toc488826827"/>
      <w:proofErr w:type="spellStart"/>
      <w:r w:rsidRPr="000D346D">
        <w:lastRenderedPageBreak/>
        <w:t>Anhang</w:t>
      </w:r>
      <w:proofErr w:type="spellEnd"/>
      <w:r w:rsidRPr="000D346D">
        <w:t xml:space="preserve"> D: </w:t>
      </w:r>
      <w:proofErr w:type="spellStart"/>
      <w:r w:rsidRPr="000D346D">
        <w:t>Hinweise</w:t>
      </w:r>
      <w:proofErr w:type="spellEnd"/>
      <w:r w:rsidRPr="000D346D">
        <w:t xml:space="preserve"> und </w:t>
      </w:r>
      <w:proofErr w:type="spellStart"/>
      <w:r w:rsidRPr="000D346D">
        <w:t>Bemerkungen</w:t>
      </w:r>
      <w:proofErr w:type="spellEnd"/>
      <w:r w:rsidRPr="000D346D">
        <w:t xml:space="preserve"> des </w:t>
      </w:r>
      <w:proofErr w:type="spellStart"/>
      <w:r w:rsidRPr="000D346D">
        <w:t>Beraters</w:t>
      </w:r>
      <w:bookmarkEnd w:id="63"/>
      <w:bookmarkEnd w:id="64"/>
      <w:proofErr w:type="spellEnd"/>
    </w:p>
    <w:p w:rsidR="00FF4D8E" w:rsidRPr="00316B9E" w:rsidRDefault="00D307A8" w:rsidP="00FF4D8E">
      <w:pPr>
        <w:pStyle w:val="Heading2"/>
        <w:snapToGrid w:val="0"/>
      </w:pPr>
      <w:bookmarkStart w:id="65" w:name="_Toc488826828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65"/>
      <w:proofErr w:type="spellEnd"/>
    </w:p>
    <w:p w:rsidR="003D67C6" w:rsidRDefault="00B46A96" w:rsidP="007E221E">
      <w:pPr>
        <w:jc w:val="left"/>
      </w:pPr>
      <w:r w:rsidRPr="004A61C3">
        <w:t>${TABLE_</w:t>
      </w:r>
      <w:r>
        <w:t>AUDIT_INSTANCES</w:t>
      </w:r>
      <w:r w:rsidRPr="004A61C3">
        <w:t>}</w:t>
      </w:r>
    </w:p>
    <w:p w:rsidR="005E0AA4" w:rsidRPr="00316B9E" w:rsidRDefault="00D307A8" w:rsidP="00FF4D8E">
      <w:pPr>
        <w:pStyle w:val="Heading2"/>
        <w:snapToGrid w:val="0"/>
      </w:pPr>
      <w:bookmarkStart w:id="66" w:name="_Toc488826829"/>
      <w:r w:rsidRPr="00316B9E">
        <w:t xml:space="preserve">Operative </w:t>
      </w:r>
      <w:proofErr w:type="spellStart"/>
      <w:r w:rsidRPr="00316B9E">
        <w:t>Risiken</w:t>
      </w:r>
      <w:bookmarkEnd w:id="66"/>
      <w:proofErr w:type="spellEnd"/>
    </w:p>
    <w:p w:rsidR="008C4C20" w:rsidRDefault="008C4C20" w:rsidP="007E221E">
      <w:pPr>
        <w:jc w:val="left"/>
      </w:pPr>
      <w:r w:rsidRPr="008C4C20">
        <w:t>${TABLE_AUDIT_RISKS_OP}</w:t>
      </w:r>
    </w:p>
    <w:sectPr w:rsidR="008C4C20" w:rsidSect="002F17A7">
      <w:headerReference w:type="default" r:id="rId15"/>
      <w:footerReference w:type="default" r:id="rId16"/>
      <w:pgSz w:w="11906" w:h="16838" w:code="9"/>
      <w:pgMar w:top="1440" w:right="1138" w:bottom="245" w:left="432" w:header="562" w:footer="562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D9D" w:rsidRDefault="00D36D9D" w:rsidP="002112D1">
      <w:r>
        <w:separator/>
      </w:r>
    </w:p>
  </w:endnote>
  <w:endnote w:type="continuationSeparator" w:id="0">
    <w:p w:rsidR="00D36D9D" w:rsidRDefault="00D36D9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BF17F3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12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17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5408" behindDoc="0" locked="0" layoutInCell="1" allowOverlap="1" wp14:anchorId="377ACDD3" wp14:editId="7D36E87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20CB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D9D" w:rsidRDefault="00D36D9D" w:rsidP="002112D1">
      <w:r>
        <w:separator/>
      </w:r>
    </w:p>
  </w:footnote>
  <w:footnote w:type="continuationSeparator" w:id="0">
    <w:p w:rsidR="00D36D9D" w:rsidRDefault="00D36D9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9304F" w:rsidRPr="0071122F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316B9E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264916B8" wp14:editId="5CF963F0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7" name="Picture 1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304F">
            <w:rPr>
              <w:sz w:val="18"/>
              <w:lang w:val="fr-LU"/>
            </w:rPr>
            <w:ptab w:relativeTo="margin" w:alignment="left" w:leader="none"/>
          </w:r>
        </w:p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9304F" w:rsidRPr="002F725D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9304F" w:rsidRPr="009F0038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9304F" w:rsidRPr="00791411" w:rsidTr="0079304F">
      <w:trPr>
        <w:trHeight w:hRule="exact" w:val="202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79304F" w:rsidRPr="00B476B5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9304F" w:rsidRPr="0071122F" w:rsidTr="00895FEC">
      <w:trPr>
        <w:trHeight w:hRule="exact" w:val="288"/>
      </w:trPr>
      <w:tc>
        <w:tcPr>
          <w:tcW w:w="3510" w:type="dxa"/>
          <w:vAlign w:val="center"/>
        </w:tcPr>
        <w:p w:rsidR="0079304F" w:rsidRPr="00791411" w:rsidRDefault="0079304F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9304F" w:rsidRPr="00791411" w:rsidRDefault="0079304F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79304F" w:rsidRPr="00810F34" w:rsidRDefault="0079304F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E02F30" w:rsidRDefault="006146CD" w:rsidP="00E02F30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469860EE" wp14:editId="5ECB77C8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10" name="Picture 10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431E78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431E78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en/catalogue_detail?csnumber=56742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2017-07-25T14:33:00Z</dcterms:created>
  <dcterms:modified xsi:type="dcterms:W3CDTF">2017-12-19T10:03:00Z</dcterms:modified>
  <cp:category/>
  <cp:contentStatus/>
</cp:coreProperties>
</file>