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</w:pPr>
      <w:r>
        <w:rPr/>
        <w:t xml:space="preserve">La </w:t>
      </w:r>
      <w:r>
        <w:rPr>
          <w:b w:val="1"/>
          <w:bCs w:val="1"/>
        </w:rPr>
        <w:t xml:space="preserve">VICERRECTORA ACADÉMICA DE LA UNIVERSIDAD DEL CAUCA</w:t>
      </w:r>
      <w:r>
        <w:rPr/>
        <w:t xml:space="preserve">, en uso de competencias establecidas en el Acuerdo Superior 024 de 1993 - Estatuto del Profesor de la Universidad del Cauca, principalmente conforme a lo previsto en el artículo 73, modificado por el artículo quinto del Acuerdo Superior 031 de 2020, y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2024-06-03T01:30:57+02:00</dcterms:created>
  <dcterms:modified xsi:type="dcterms:W3CDTF">2024-06-03T01:30:57+02:00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