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Comparative Analysis of Logistic Regression and XGBoost for Eye-Tracking-Based Cognitive Load Detection with Feature Importance Analysis</w:t>
      </w:r>
    </w:p>
    <w:p>
      <w:pPr>
        <w:spacing w:after="240" w:line="240" w:lineRule="auto"/>
        <w:ind w:left="576" w:right="576"/>
      </w:pPr>
      <w:r>
        <w:rPr>
          <w:i/>
          <w:color w:val="444444"/>
        </w:rPr>
        <w:t>Draft status: technical first draft. University formatting, adviser-approved research questions, and final IEEE reference details still need review.</w:t>
      </w:r>
    </w:p>
    <w:p>
      <w:pPr>
        <w:pStyle w:val="Heading1"/>
      </w:pPr>
      <w:r>
        <w:t>Abstract</w:t>
      </w:r>
    </w:p>
    <w:p>
      <w:pPr>
        <w:spacing w:line="360" w:lineRule="auto" w:after="200"/>
        <w:jc w:val="both"/>
      </w:pPr>
      <w:r>
        <w:t>Cognitive load detection estimates a user's mental workload from observable signals. Eye-tracking features are one non-invasive source of behavioral evidence, but workload ratings and eye-movement patterns vary strongly between participants. This study compares Logistic Regression and XGBoost for binary cognitive load detection using eye-tracking features from the GAZELOAD dataset, which contains 26 participants, five tasks per participant, and 130 complete recordings. The published 250 ms windows were aggregated into 30-second epochs, producing 1,087 epochs and 37 derived features. Two label schemes, absolute thresholding and within-participant thresholding, were crossed with two feature schemes, raw and within-participant standardized features, and evaluated under leave-one-participant-out validation. Performance was measured with ROC-AUC, accuracy, balanced accuracy, precision, recall, and F1-score. Feature importance was examined through standardized Logistic Regression coefficients and XGBoost feature attribution methods. XGBoost reached a higher ROC-AUC than Logistic Regression in every configuration tested, although no configuration reached significance in the participant-level paired ROC-AUC tests. The best analytical configuration combined within-participant labeling with within-participant feature standardization, where XGBoost reached a pooled ROC-AUC of 0.682 and Logistic Regression reached 0.621. Preprocessing decisions, particularly participant-relative labeling and normalization, mattered more than the choice of model. XGBoost is therefore the stronger classifier on this dataset, but the evidence should be read with caution given participant variability, lighting influence, and the analytical nature of the participant-relative pipeline.</w:t>
      </w:r>
    </w:p>
    <w:p>
      <w:pPr>
        <w:spacing w:line="360" w:lineRule="auto" w:after="160"/>
      </w:pPr>
      <w:r>
        <w:t>Keywords: cognitive load, eye tracking, Logistic Regression, XGBoost, feature importance, ROC-AUC, leave-one-participant-out validation</w:t>
      </w:r>
    </w:p>
    <w:p>
      <w:pPr>
        <w:pStyle w:val="Heading1"/>
      </w:pPr>
      <w:r>
        <w:t>Chapter 1: Introduction</w:t>
      </w:r>
    </w:p>
    <w:p>
      <w:pPr>
        <w:pStyle w:val="Heading2"/>
      </w:pPr>
      <w:r>
        <w:t>1.1 Background of the Study</w:t>
      </w:r>
    </w:p>
    <w:p>
      <w:pPr>
        <w:spacing w:line="360" w:lineRule="auto" w:after="200"/>
        <w:jc w:val="both"/>
      </w:pPr>
      <w:r>
        <w:t>Cognitive load is the amount of mental effort a task demands. In human-computer interaction, human-robot collaboration, education, driving, and safety-critical work, an estimate of cognitive load lets a system adapt to the user's current state. When a user is overloaded, performance can decline, errors can increase, and situational awareness can weaken [3]. Automatic cognitive load detection is studied for that reason in affective computing, human factors, and intelligent systems research.</w:t>
      </w:r>
    </w:p>
    <w:p>
      <w:pPr>
        <w:spacing w:line="360" w:lineRule="auto" w:after="200"/>
        <w:jc w:val="both"/>
      </w:pPr>
      <w:r>
        <w:t>Eye movements change with attention, visual search, task difficulty, and mental effort, which makes eye-tracking one way to estimate cognitive load. Fixation behavior, saccade behavior, blink activity, gaze dispersion, and gaze transition measures can all be extracted from a recording, and a wearable device can capture them without interrupting the task. Eye-tracking data are also noisy and participant-dependent. Two people may have different baseline gaze patterns while performing the same task.</w:t>
      </w:r>
    </w:p>
    <w:p>
      <w:pPr>
        <w:spacing w:line="360" w:lineRule="auto" w:after="200"/>
        <w:jc w:val="both"/>
      </w:pPr>
      <w:r>
        <w:t>Machine learning can classify cognitive load from these features. This study uses two models. Logistic Regression is a linear classifier that works as an interpretable baseline. XGBoost is a gradient-boosted tree model that can capture nonlinear relationships and feature interactions [6]. Comparing the two shows whether a more complex nonlinear method buys any real performance over a simpler interpretable one.</w:t>
      </w:r>
    </w:p>
    <w:p>
      <w:pPr>
        <w:spacing w:line="360" w:lineRule="auto" w:after="200"/>
        <w:jc w:val="both"/>
      </w:pPr>
      <w:r>
        <w:t>The data come from the GAZELOAD dataset [8], which contains eye-tracking recordings from 26 participants performing five task conditions. The work is analytical rather than deployment-ready. Its goal is to compare model behavior and feature contribution under a strict participant-level validation protocol.</w:t>
      </w:r>
    </w:p>
    <w:p>
      <w:pPr>
        <w:pStyle w:val="Heading2"/>
      </w:pPr>
      <w:r>
        <w:t>1.2 Statement of the Problem</w:t>
      </w:r>
    </w:p>
    <w:p>
      <w:pPr>
        <w:spacing w:line="360" w:lineRule="auto" w:after="200"/>
        <w:jc w:val="both"/>
      </w:pPr>
      <w:r>
        <w:t>Eye-tracking features can be related to cognitive load, but it is unclear whether a simple linear classifier or a nonlinear boosted-tree classifier detects that load more effectively in participant-independent evaluation. Participant-specific rating behavior and participant-specific eye-tracking baselines complicate the question. A fixed workload threshold may not represent the same mental state for every participant, and raw eye-tracking features may carry stable individual differences unrelated to workload.</w:t>
      </w:r>
    </w:p>
    <w:p>
      <w:pPr>
        <w:spacing w:line="360" w:lineRule="auto" w:after="200"/>
        <w:jc w:val="both"/>
      </w:pPr>
      <w:r>
        <w:t>This study compares Logistic Regression and XGBoost under identical preprocessing, labeling, and validation conditions. It also asks whether participant-relative preprocessing improves classification, and which features contribute most to the predictions.</w:t>
      </w:r>
    </w:p>
    <w:p>
      <w:pPr>
        <w:pStyle w:val="Heading2"/>
      </w:pPr>
      <w:r>
        <w:t>1.3 Objectives of the Study</w:t>
      </w:r>
    </w:p>
    <w:p>
      <w:pPr>
        <w:spacing w:line="360" w:lineRule="auto" w:after="200"/>
        <w:jc w:val="both"/>
      </w:pPr>
      <w:r>
        <w:t>The general objective of this study is to compare Logistic Regression and XGBoost for cognitive load detection using eye-tracking features.</w:t>
      </w:r>
    </w:p>
    <w:p>
      <w:pPr>
        <w:spacing w:line="360" w:lineRule="auto" w:after="200"/>
        <w:jc w:val="both"/>
      </w:pPr>
      <w:r>
        <w:t>The specific objectives are:</w:t>
      </w:r>
    </w:p>
    <w:p>
      <w:pPr>
        <w:pStyle w:val="ListNumber"/>
        <w:spacing w:line="360" w:lineRule="auto" w:after="120"/>
      </w:pPr>
      <w:r>
        <w:t>To prepare eye-tracking features from the GAZELOAD dataset for binary cognitive load classification.</w:t>
      </w:r>
    </w:p>
    <w:p>
      <w:pPr>
        <w:pStyle w:val="ListNumber"/>
        <w:spacing w:line="360" w:lineRule="auto" w:after="120"/>
      </w:pPr>
      <w:r>
        <w:t>To evaluate Logistic Regression and XGBoost under leave-one-participant-out validation.</w:t>
      </w:r>
    </w:p>
    <w:p>
      <w:pPr>
        <w:pStyle w:val="ListNumber"/>
        <w:spacing w:line="360" w:lineRule="auto" w:after="120"/>
      </w:pPr>
      <w:r>
        <w:t>To compare model performance using ROC-AUC, accuracy, balanced accuracy, precision, recall, and F1-score.</w:t>
      </w:r>
    </w:p>
    <w:p>
      <w:pPr>
        <w:pStyle w:val="ListNumber"/>
        <w:spacing w:line="360" w:lineRule="auto" w:after="120"/>
      </w:pPr>
      <w:r>
        <w:t>To examine the effect of label definition, feature standardization, and lighting-feature inclusion through experimental configurations.</w:t>
      </w:r>
    </w:p>
    <w:p>
      <w:pPr>
        <w:pStyle w:val="ListNumber"/>
        <w:spacing w:line="360" w:lineRule="auto" w:after="120"/>
      </w:pPr>
      <w:r>
        <w:t>To analyze feature importance using Logistic Regression coefficients and XGBoost attribution methods.</w:t>
      </w:r>
    </w:p>
    <w:p>
      <w:pPr>
        <w:pStyle w:val="Heading2"/>
      </w:pPr>
      <w:r>
        <w:t>1.4 Research Questions</w:t>
      </w:r>
    </w:p>
    <w:p>
      <w:pPr>
        <w:spacing w:line="360" w:lineRule="auto" w:after="200"/>
        <w:jc w:val="both"/>
      </w:pPr>
      <w:r>
        <w:t>This study is guided by the following research questions:</w:t>
      </w:r>
    </w:p>
    <w:p>
      <w:pPr>
        <w:pStyle w:val="ListNumber"/>
        <w:spacing w:line="360" w:lineRule="auto" w:after="120"/>
      </w:pPr>
      <w:r>
        <w:t>How does Logistic Regression perform compared with XGBoost for binary cognitive load detection using eye-tracking features?</w:t>
      </w:r>
    </w:p>
    <w:p>
      <w:pPr>
        <w:pStyle w:val="ListNumber"/>
        <w:spacing w:line="360" w:lineRule="auto" w:after="120"/>
      </w:pPr>
      <w:r>
        <w:t>Which experimental configuration produces the strongest classification performance under leave-one-participant-out validation?</w:t>
      </w:r>
    </w:p>
    <w:p>
      <w:pPr>
        <w:pStyle w:val="ListNumber"/>
        <w:spacing w:line="360" w:lineRule="auto" w:after="120"/>
      </w:pPr>
      <w:r>
        <w:t>How do within-participant labeling and within-participant feature standardization affect model performance?</w:t>
      </w:r>
    </w:p>
    <w:p>
      <w:pPr>
        <w:pStyle w:val="ListNumber"/>
        <w:spacing w:line="360" w:lineRule="auto" w:after="120"/>
      </w:pPr>
      <w:r>
        <w:t>Which eye-tracking and contextual features contribute most to the predictions of Logistic Regression and XGBoost?</w:t>
      </w:r>
    </w:p>
    <w:p>
      <w:pPr>
        <w:pStyle w:val="ListNumber"/>
        <w:spacing w:line="360" w:lineRule="auto" w:after="120"/>
      </w:pPr>
      <w:r>
        <w:t>Is the observed difference between Logistic Regression and XGBoost consistent across participants?</w:t>
      </w:r>
    </w:p>
    <w:p>
      <w:pPr>
        <w:pStyle w:val="Heading2"/>
      </w:pPr>
      <w:r>
        <w:t>1.5 Scope and Limitations</w:t>
      </w:r>
    </w:p>
    <w:p>
      <w:pPr>
        <w:spacing w:line="360" w:lineRule="auto" w:after="200"/>
        <w:jc w:val="both"/>
      </w:pPr>
      <w:r>
        <w:t>The study is limited to the GAZELOAD dataset, which contains 26 participants and five task recordings per participant, for a total of 130 complete recordings.</w:t>
      </w:r>
    </w:p>
    <w:p>
      <w:pPr>
        <w:spacing w:line="360" w:lineRule="auto" w:after="200"/>
        <w:jc w:val="both"/>
      </w:pPr>
      <w:r>
        <w:t>Only the features available in the released eye-metrics files are used. Pupil diameter and pupil dilation are excluded because the released dataset used by the codebase does not contain them. The analysis therefore rests on fixation, saccade, blink, gaze-direction, gaze-position, gaze-transition, dispersion, and illuminance-related features.</w:t>
      </w:r>
    </w:p>
    <w:p>
      <w:pPr>
        <w:spacing w:line="360" w:lineRule="auto" w:after="200"/>
        <w:jc w:val="both"/>
      </w:pPr>
      <w:r>
        <w:t>The main analytical configuration uses within-participant labeling and within-participant feature standardization. That setup suits an analysis of relative workload patterns, but it does not amount to a deployment-ready model. A deployed system would need calibration or prior recordings from a new user before it could compute participant-specific feature statistics.</w:t>
      </w:r>
    </w:p>
    <w:p>
      <w:pPr>
        <w:pStyle w:val="Heading2"/>
      </w:pPr>
      <w:r>
        <w:t>1.6 Significance of the Study</w:t>
      </w:r>
    </w:p>
    <w:p>
      <w:pPr>
        <w:spacing w:line="360" w:lineRule="auto" w:after="200"/>
        <w:jc w:val="both"/>
      </w:pPr>
      <w:r>
        <w:t>The study offers a controlled comparison of an interpretable linear classifier and a nonlinear ensemble classifier for eye-tracking-based cognitive load detection. It also shows how preprocessing choices move model performance, which matters because weak validation or participant-insensitive labeling can produce misleading conclusions. The feature importance analysis adds a further contribution by identifying which features the models actually use when detecting cognitive load.</w:t>
      </w:r>
    </w:p>
    <w:p>
      <w:pPr>
        <w:pStyle w:val="Heading1"/>
      </w:pPr>
      <w:r>
        <w:t>Chapter 2: Review of Related Literature</w:t>
      </w:r>
    </w:p>
    <w:p>
      <w:pPr>
        <w:pStyle w:val="Heading2"/>
      </w:pPr>
      <w:r>
        <w:t>2.1 Cognitive Load and Mental Workload</w:t>
      </w:r>
    </w:p>
    <w:p>
      <w:pPr>
        <w:spacing w:line="360" w:lineRule="auto" w:after="200"/>
        <w:jc w:val="both"/>
      </w:pPr>
      <w:r>
        <w:t>Cognitive load describes the mental demand placed on a person while performing a task. Foundational work on attention and effort treats mental effort as a limited cognitive resource [1], while cognitive load theory explains how excessive demands on working memory can impair learning and task performance [2]. In applied settings, mental workload can be measured through self-report, task performance, physiological signals, or behavioral signals. Instruments such as NASA-TLX show that subjective workload assessment is an established method in human factors research [16].</w:t>
      </w:r>
    </w:p>
    <w:p>
      <w:pPr>
        <w:spacing w:line="360" w:lineRule="auto" w:after="200"/>
        <w:jc w:val="both"/>
      </w:pPr>
      <w:r>
        <w:t>This study does not use NASA-TLX as its target variable. It uses the GAZELOAD dataset's self-reported mental load rating on a 1-10 scale [8]. That label is still subjective, so participants may interpret the scale differently. Differences in rating behavior matter here because they affect how binary high-load and low-load labels are constructed [9].</w:t>
      </w:r>
    </w:p>
    <w:p>
      <w:pPr>
        <w:spacing w:line="360" w:lineRule="auto" w:after="200"/>
        <w:jc w:val="both"/>
      </w:pPr>
      <w:r>
        <w:t>Some studies handle this variation with participant-relative or subject-wise transformations. These approaches do not assume that the same numeric rating means the same thing to every participant. They ask instead whether a task sits higher or lower relative to that participant's own experience, which supports within-participant labeling in analytical workload studies where the research question concerns relative cognitive load rather than an absolute clinical or operational threshold.</w:t>
      </w:r>
    </w:p>
    <w:p>
      <w:pPr>
        <w:pStyle w:val="Heading2"/>
      </w:pPr>
      <w:r>
        <w:t>2.2 Eye-Tracking Features for Cognitive Load Detection</w:t>
      </w:r>
    </w:p>
    <w:p>
      <w:pPr>
        <w:spacing w:line="360" w:lineRule="auto" w:after="200"/>
        <w:jc w:val="both"/>
      </w:pPr>
      <w:r>
        <w:t>Eye-tracking appears in cognitive load research because visual behavior is linked to attention and task demand. Common features include fixation count, fixation duration, saccade count, saccade amplitude, saccade velocity, blink rate, gaze dispersion, and gaze transition patterns [4], [12], [13], [18]. Researchers extract them over time windows and feed them to machine-learning models.</w:t>
      </w:r>
    </w:p>
    <w:p>
      <w:pPr>
        <w:spacing w:line="360" w:lineRule="auto" w:after="200"/>
        <w:jc w:val="both"/>
      </w:pPr>
      <w:r>
        <w:t>Eye-tracking features are also sensitive to individual differences, recording conditions, lighting, task context, and data quality, which is why participant-level evaluation matters. If data from one participant appear in both the training and test sets, a classifier may learn participant identity rather than general workload-related behavior. Subject-independent or participant-held-out evaluation is the more appropriate design when the goal is to estimate performance on unseen users [10], [13].</w:t>
      </w:r>
    </w:p>
    <w:p>
      <w:pPr>
        <w:spacing w:line="360" w:lineRule="auto" w:after="200"/>
        <w:jc w:val="both"/>
      </w:pPr>
      <w:r>
        <w:t>Related public datasets and studies, including COLET and other eye-tracking workload classification work, support the broader feasibility of detecting cognitive workload from eye-movement features [17], [18]. They serve here as related literature only. The present methodology uses GAZELOAD.</w:t>
      </w:r>
    </w:p>
    <w:p>
      <w:pPr>
        <w:pStyle w:val="Heading2"/>
      </w:pPr>
      <w:r>
        <w:t>2.3 Logistic Regression for Classification</w:t>
      </w:r>
    </w:p>
    <w:p>
      <w:pPr>
        <w:spacing w:line="360" w:lineRule="auto" w:after="200"/>
        <w:jc w:val="both"/>
      </w:pPr>
      <w:r>
        <w:t>Logistic Regression is a supervised learning algorithm for binary classification. It models the probability of class membership as a logistic function of a weighted linear combination of features. Its main advantage is interpretability: the coefficients show the direction and relative contribution of standardized features, which is what makes the model a natural baseline in comparative studies [5].</w:t>
      </w:r>
    </w:p>
    <w:p>
      <w:pPr>
        <w:spacing w:line="360" w:lineRule="auto" w:after="200"/>
        <w:jc w:val="both"/>
      </w:pPr>
      <w:r>
        <w:t>Its limitation is the assumption of a linear decision boundary, unless interactions or nonlinear transformations are added explicitly. If cognitive load is associated with nonlinear changes in eye behavior, Logistic Regression will underfit the relationship.</w:t>
      </w:r>
    </w:p>
    <w:p>
      <w:pPr>
        <w:pStyle w:val="Heading2"/>
      </w:pPr>
      <w:r>
        <w:t>2.4 XGBoost for Classification</w:t>
      </w:r>
    </w:p>
    <w:p>
      <w:pPr>
        <w:spacing w:line="360" w:lineRule="auto" w:after="200"/>
        <w:jc w:val="both"/>
      </w:pPr>
      <w:r>
        <w:t>XGBoost is a gradient-boosted decision-tree algorithm. It builds an ensemble of trees in sequence, each tree correcting the errors of the ones before it. The model can represent nonlinear relationships, feature interactions, and threshold effects, and it handles missing values through learned default directions in tree splits [6].</w:t>
      </w:r>
    </w:p>
    <w:p>
      <w:pPr>
        <w:spacing w:line="360" w:lineRule="auto" w:after="200"/>
        <w:jc w:val="both"/>
      </w:pPr>
      <w:r>
        <w:t>Those properties suit eye-tracking data, where the relationship between features and workload may well be nonlinear. XGBoost is also less directly interpretable than Logistic Regression, so feature importance methods are needed to explain which features drive its predictions [7], [12], [19].</w:t>
      </w:r>
    </w:p>
    <w:p>
      <w:pPr>
        <w:pStyle w:val="Heading2"/>
      </w:pPr>
      <w:r>
        <w:t>2.5 Within-Participant Labeling</w:t>
      </w:r>
    </w:p>
    <w:p>
      <w:pPr>
        <w:spacing w:line="360" w:lineRule="auto" w:after="200"/>
        <w:jc w:val="both"/>
      </w:pPr>
      <w:r>
        <w:t>Within-participant labeling defines high and low workload relative to each participant's own rating distribution. In this study, a task is labeled high load if its rating sits above the participant's median rating and low load if it falls below the median. Ratings equal to the median are dropped because they are ambiguous on that participant's own scale.</w:t>
      </w:r>
    </w:p>
    <w:p>
      <w:pPr>
        <w:spacing w:line="360" w:lineRule="auto" w:after="200"/>
        <w:jc w:val="both"/>
      </w:pPr>
      <w:r>
        <w:t>The approach is defensible because subjective workload ratings are not always directly comparable across participants. Related mental-effort classification work has used subject-wise median split procedures to separate low and high perceived effort [11]. In this dataset, the within-participant label also agrees more closely with objective task difficulty than the absolute threshold does, based on the existing project results.</w:t>
      </w:r>
    </w:p>
    <w:p>
      <w:pPr>
        <w:pStyle w:val="Heading2"/>
      </w:pPr>
      <w:r>
        <w:t>2.6 Within-Participant Feature Standardization</w:t>
      </w:r>
    </w:p>
    <w:p>
      <w:pPr>
        <w:spacing w:line="360" w:lineRule="auto" w:after="200"/>
        <w:jc w:val="both"/>
      </w:pPr>
      <w:r>
        <w:t>Within-participant feature standardization turns each feature into a participant-relative value. A standardized value says how far a participant's current feature value sits from their own mean, measured in units of their own standard deviation, which removes between-participant baseline differences and leaves the within-person deviations.</w:t>
      </w:r>
    </w:p>
    <w:p>
      <w:pPr>
        <w:spacing w:line="360" w:lineRule="auto" w:after="200"/>
        <w:jc w:val="both"/>
      </w:pPr>
      <w:r>
        <w:t>That matters for eye-tracking-based workload detection because participants differ in baseline gaze behavior. Subject-wise normalization has been used in workload-related modeling to reduce inter-subject variability and support participant-held-out evaluation [10]. The transformation used here is label-free: it reads only eye-tracking feature values, never workload labels.</w:t>
      </w:r>
    </w:p>
    <w:p>
      <w:pPr>
        <w:pStyle w:val="Heading2"/>
      </w:pPr>
      <w:r>
        <w:t>2.7 Feature Importance Analysis</w:t>
      </w:r>
    </w:p>
    <w:p>
      <w:pPr>
        <w:spacing w:line="360" w:lineRule="auto" w:after="200"/>
        <w:jc w:val="both"/>
      </w:pPr>
      <w:r>
        <w:t>For Logistic Regression, standardized coefficients show whether a feature raises or lowers the predicted probability of high cognitive load. For XGBoost, importance can be read from tree-based gain and from SHAP values. SHAP values are useful because they estimate each feature's contribution to individual predictions and can then be summarized across samples [7].</w:t>
      </w:r>
    </w:p>
    <w:p>
      <w:pPr>
        <w:spacing w:line="360" w:lineRule="auto" w:after="200"/>
        <w:jc w:val="both"/>
      </w:pPr>
      <w:r>
        <w:t>Feature importance carries extra weight in this study because performance figures alone do not reveal whether the classifier is using eye behavior, lighting, artifacts, or some other contextual signal. Prior eye-tracking workload studies have likewise used feature-importance analysis to interpret the contribution of gaze-derived variables [12], [19].</w:t>
      </w:r>
    </w:p>
    <w:p>
      <w:pPr>
        <w:pStyle w:val="Heading2"/>
      </w:pPr>
      <w:r>
        <w:t>2.8 Classification Metrics</w:t>
      </w:r>
    </w:p>
    <w:p>
      <w:pPr>
        <w:spacing w:line="360" w:lineRule="auto" w:after="200"/>
        <w:jc w:val="both"/>
      </w:pPr>
      <w:r>
        <w:t>ROC-AUC measures a classifier's ability to rank positive samples above negative samples across thresholds, which makes it useful for comparing model discrimination without depending on one fixed decision threshold [14]. Accuracy, balanced accuracy, precision, recall, and F1-score give complementary views of thresholded classification performance. Because this thesis compares model families, ROC-AUC is the primary metric and the others are reported as secondary measures.</w:t>
      </w:r>
    </w:p>
    <w:p>
      <w:pPr>
        <w:pStyle w:val="Heading1"/>
      </w:pPr>
      <w:r>
        <w:t>Chapter 3: Methodology</w:t>
      </w:r>
    </w:p>
    <w:p>
      <w:pPr>
        <w:pStyle w:val="Heading2"/>
      </w:pPr>
      <w:r>
        <w:t>3.1 Research Design</w:t>
      </w:r>
    </w:p>
    <w:p>
      <w:pPr>
        <w:spacing w:line="360" w:lineRule="auto" w:after="200"/>
        <w:jc w:val="both"/>
      </w:pPr>
      <w:r>
        <w:t>This study uses a quantitative computational experimental design. Logistic Regression and XGBoost are trained on identical eye-tracking feature sets and evaluated under the same participant-level validation protocol. The comparison runs across multiple preprocessing configurations, and feature importance is analyzed for interpretability.</w:t>
      </w:r>
    </w:p>
    <w:p>
      <w:pPr>
        <w:pStyle w:val="Heading2"/>
      </w:pPr>
      <w:r>
        <w:t>3.2 Dataset</w:t>
      </w:r>
    </w:p>
    <w:p>
      <w:pPr>
        <w:spacing w:line="360" w:lineRule="auto" w:after="200"/>
        <w:jc w:val="both"/>
      </w:pPr>
      <w:r>
        <w:t>The study uses GAZELOAD, an eye-tracking dataset collected during industrial human-robot collaboration tasks [8]. It contains 26 participants with five task recordings each, a complete grid of 130 recordings. The released sampling unit is a non-overlapping 250 ms window, and the codebase reports 135,499 total windows.</w:t>
      </w:r>
    </w:p>
    <w:p>
      <w:pPr>
        <w:spacing w:line="360" w:lineRule="auto" w:after="200"/>
        <w:jc w:val="both"/>
      </w:pPr>
      <w:r>
        <w:t>Each recording carries one self-reported mental load rating on a 1 to 10 scale, which becomes the basis for the binary low-load and high-load labels.</w:t>
      </w:r>
    </w:p>
    <w:p>
      <w:pPr>
        <w:pStyle w:val="Heading2"/>
      </w:pPr>
      <w:r>
        <w:t>3.3 Data Preparation</w:t>
      </w:r>
    </w:p>
    <w:p>
      <w:pPr>
        <w:spacing w:line="360" w:lineRule="auto" w:after="200"/>
        <w:jc w:val="both"/>
      </w:pPr>
      <w:r>
        <w:t xml:space="preserve">Participant identity is taken from the recording filename rather than the </w:t>
      </w:r>
      <w:r>
        <w:rPr>
          <w:rFonts w:ascii="Consolas" w:hAnsi="Consolas"/>
          <w:sz w:val="22"/>
        </w:rPr>
        <w:t>Participant_ID</w:t>
      </w:r>
      <w:r>
        <w:t xml:space="preserve"> column, because the project documentation notes that the </w:t>
      </w:r>
      <w:r>
        <w:rPr>
          <w:rFonts w:ascii="Consolas" w:hAnsi="Consolas"/>
          <w:sz w:val="22"/>
        </w:rPr>
        <w:t>Participant_ID</w:t>
      </w:r>
      <w:r>
        <w:t xml:space="preserve"> field is corrupted in some files. Task identifiers and timestamps are dropped from the final feature matrix. Task identity in particular can encode the experimental condition directly instead of the participant's eye behavior.</w:t>
      </w:r>
    </w:p>
    <w:p>
      <w:pPr>
        <w:spacing w:line="360" w:lineRule="auto" w:after="200"/>
        <w:jc w:val="both"/>
      </w:pPr>
      <w:r>
        <w:t>The original 250 ms windows are aggregated into 30-second epochs. Epoch boundaries are computed within each recording, and partial epochs covering less than 80% of the window are removed, leaving 1,087 epochs. Prior eye-tracking workload research has shown that aggregation choices can influence classification performance, which supports the use of epoch-level feature summaries rather than raw short windows alone [13].</w:t>
      </w:r>
    </w:p>
    <w:p>
      <w:pPr>
        <w:spacing w:line="360" w:lineRule="auto" w:after="200"/>
        <w:jc w:val="both"/>
      </w:pPr>
      <w:r>
        <w:t>For each epoch, the mean and standard deviation of the base eye-tracking features are computed. Additional derived features include blink rate, the fraction of missing saccade features, the fraction of missing fixation dispersion index values, the fraction of nonzero gaze transition entropy values, and the fraction of windows with zero fixations. With lighting features included, the final feature set contains 37 features.</w:t>
      </w:r>
    </w:p>
    <w:p>
      <w:pPr>
        <w:pStyle w:val="Heading2"/>
      </w:pPr>
      <w:r>
        <w:t>3.4 Labeling Schemes</w:t>
      </w:r>
    </w:p>
    <w:p>
      <w:pPr>
        <w:spacing w:line="360" w:lineRule="auto" w:after="200"/>
        <w:jc w:val="both"/>
      </w:pPr>
      <w:r>
        <w:t>Two binary labeling schemes are evaluated.</w:t>
      </w:r>
    </w:p>
    <w:p>
      <w:pPr>
        <w:spacing w:line="360" w:lineRule="auto" w:after="200"/>
        <w:jc w:val="both"/>
      </w:pPr>
      <w:r>
        <w:t>The first is an absolute threshold. Ratings of 4 or above are labeled high load and ratings below 4 are labeled low load, which retains all 1,087 epochs.</w:t>
      </w:r>
    </w:p>
    <w:p>
      <w:pPr>
        <w:spacing w:line="360" w:lineRule="auto" w:after="200"/>
        <w:jc w:val="both"/>
      </w:pPr>
      <w:r>
        <w:t>The second is a within-participant threshold. Ratings above a participant's own median are labeled high load, ratings below the median are labeled low load, and ratings equal to the median are excluded, leaving 768 epochs. The scheme exists because subjective workload ratings differ between participants.</w:t>
      </w:r>
    </w:p>
    <w:p>
      <w:pPr>
        <w:pStyle w:val="Heading2"/>
      </w:pPr>
      <w:r>
        <w:t>3.5 Feature Schemes</w:t>
      </w:r>
    </w:p>
    <w:p>
      <w:pPr>
        <w:spacing w:line="360" w:lineRule="auto" w:after="200"/>
        <w:jc w:val="both"/>
      </w:pPr>
      <w:r>
        <w:t>Two feature schemes are evaluated.</w:t>
      </w:r>
    </w:p>
    <w:p>
      <w:pPr>
        <w:spacing w:line="360" w:lineRule="auto" w:after="200"/>
        <w:jc w:val="both"/>
      </w:pPr>
      <w:r>
        <w:t>The raw feature scheme uses the epoch-level feature values directly.</w:t>
      </w:r>
    </w:p>
    <w:p>
      <w:pPr>
        <w:spacing w:line="360" w:lineRule="auto" w:after="200"/>
        <w:jc w:val="both"/>
      </w:pPr>
      <w:r>
        <w:t>The within-participant standardization scheme transforms each feature within each participant, expressing every value as a deviation from that participant's mean divided by that participant's standard deviation. The result emphasizes participant-relative changes in eye behavior.</w:t>
      </w:r>
    </w:p>
    <w:p>
      <w:pPr>
        <w:pStyle w:val="Heading2"/>
      </w:pPr>
      <w:r>
        <w:t>3.6 Experimental Configurations</w:t>
      </w:r>
    </w:p>
    <w:p>
      <w:pPr>
        <w:spacing w:line="360" w:lineRule="auto" w:after="200"/>
        <w:jc w:val="both"/>
      </w:pPr>
      <w:r>
        <w:t>Eight configurations are evaluated:</w:t>
      </w:r>
    </w:p>
    <w:tbl>
      <w:tblPr>
        <w:tblStyle w:val="TableGrid"/>
        <w:tblW w:type="auto" w:w="0"/>
        <w:jc w:val="center"/>
        <w:tblLayout w:type="autofit"/>
        <w:tblLook w:firstColumn="1" w:firstRow="1" w:lastColumn="0" w:lastRow="0" w:noHBand="0" w:noVBand="1" w:val="04A0"/>
      </w:tblPr>
      <w:tblGrid>
        <w:gridCol w:w="2250"/>
        <w:gridCol w:w="2250"/>
        <w:gridCol w:w="2250"/>
        <w:gridCol w:w="2250"/>
      </w:tblGrid>
      <w:tr>
        <w:tc>
          <w:tcPr>
            <w:tcW w:type="dxa" w:w="2250"/>
          </w:tcPr>
          <w:p>
            <w:pPr>
              <w:jc w:val="left"/>
            </w:pPr>
            <w:r/>
            <w:r>
              <w:rPr>
                <w:b/>
                <w:sz w:val="20"/>
              </w:rPr>
              <w:t>Config</w:t>
            </w:r>
          </w:p>
        </w:tc>
        <w:tc>
          <w:tcPr>
            <w:tcW w:type="dxa" w:w="2250"/>
          </w:tcPr>
          <w:p>
            <w:pPr>
              <w:jc w:val="left"/>
            </w:pPr>
            <w:r/>
            <w:r>
              <w:rPr>
                <w:b/>
                <w:sz w:val="20"/>
              </w:rPr>
              <w:t>Label Scheme</w:t>
            </w:r>
          </w:p>
        </w:tc>
        <w:tc>
          <w:tcPr>
            <w:tcW w:type="dxa" w:w="2250"/>
          </w:tcPr>
          <w:p>
            <w:pPr>
              <w:jc w:val="left"/>
            </w:pPr>
            <w:r/>
            <w:r>
              <w:rPr>
                <w:b/>
                <w:sz w:val="20"/>
              </w:rPr>
              <w:t>Feature Scheme</w:t>
            </w:r>
          </w:p>
        </w:tc>
        <w:tc>
          <w:tcPr>
            <w:tcW w:type="dxa" w:w="2250"/>
          </w:tcPr>
          <w:p>
            <w:pPr>
              <w:jc w:val="left"/>
            </w:pPr>
            <w:r/>
            <w:r>
              <w:rPr>
                <w:b/>
                <w:sz w:val="20"/>
              </w:rPr>
              <w:t>Lighting Features</w:t>
            </w:r>
          </w:p>
        </w:tc>
      </w:tr>
      <w:tr>
        <w:tc>
          <w:tcPr>
            <w:tcW w:type="dxa" w:w="2250"/>
          </w:tcPr>
          <w:p>
            <w:pPr>
              <w:jc w:val="left"/>
            </w:pPr>
            <w:r/>
            <w:r>
              <w:rPr>
                <w:sz w:val="20"/>
              </w:rPr>
              <w:t>A</w:t>
            </w:r>
          </w:p>
        </w:tc>
        <w:tc>
          <w:tcPr>
            <w:tcW w:type="dxa" w:w="2250"/>
          </w:tcPr>
          <w:p>
            <w:pPr>
              <w:jc w:val="left"/>
            </w:pPr>
            <w:r/>
            <w:r>
              <w:rPr>
                <w:sz w:val="20"/>
              </w:rPr>
              <w:t>Absolute threshold</w:t>
            </w:r>
          </w:p>
        </w:tc>
        <w:tc>
          <w:tcPr>
            <w:tcW w:type="dxa" w:w="2250"/>
          </w:tcPr>
          <w:p>
            <w:pPr>
              <w:jc w:val="left"/>
            </w:pPr>
            <w:r/>
            <w:r>
              <w:rPr>
                <w:sz w:val="20"/>
              </w:rPr>
              <w:t>Raw</w:t>
            </w:r>
          </w:p>
        </w:tc>
        <w:tc>
          <w:tcPr>
            <w:tcW w:type="dxa" w:w="2250"/>
          </w:tcPr>
          <w:p>
            <w:pPr>
              <w:jc w:val="left"/>
            </w:pPr>
            <w:r/>
            <w:r>
              <w:rPr>
                <w:sz w:val="20"/>
              </w:rPr>
              <w:t>Included</w:t>
            </w:r>
          </w:p>
        </w:tc>
      </w:tr>
      <w:tr>
        <w:tc>
          <w:tcPr>
            <w:tcW w:type="dxa" w:w="2250"/>
          </w:tcPr>
          <w:p>
            <w:pPr>
              <w:jc w:val="left"/>
            </w:pPr>
            <w:r/>
            <w:r>
              <w:rPr>
                <w:sz w:val="20"/>
              </w:rPr>
              <w:t>B</w:t>
            </w:r>
          </w:p>
        </w:tc>
        <w:tc>
          <w:tcPr>
            <w:tcW w:type="dxa" w:w="2250"/>
          </w:tcPr>
          <w:p>
            <w:pPr>
              <w:jc w:val="left"/>
            </w:pPr>
            <w:r/>
            <w:r>
              <w:rPr>
                <w:sz w:val="20"/>
              </w:rPr>
              <w:t>Absolute threshold</w:t>
            </w:r>
          </w:p>
        </w:tc>
        <w:tc>
          <w:tcPr>
            <w:tcW w:type="dxa" w:w="2250"/>
          </w:tcPr>
          <w:p>
            <w:pPr>
              <w:jc w:val="left"/>
            </w:pPr>
            <w:r/>
            <w:r>
              <w:rPr>
                <w:sz w:val="20"/>
              </w:rPr>
              <w:t>Raw</w:t>
            </w:r>
          </w:p>
        </w:tc>
        <w:tc>
          <w:tcPr>
            <w:tcW w:type="dxa" w:w="2250"/>
          </w:tcPr>
          <w:p>
            <w:pPr>
              <w:jc w:val="left"/>
            </w:pPr>
            <w:r/>
            <w:r>
              <w:rPr>
                <w:sz w:val="20"/>
              </w:rPr>
              <w:t>Removed</w:t>
            </w:r>
          </w:p>
        </w:tc>
      </w:tr>
      <w:tr>
        <w:tc>
          <w:tcPr>
            <w:tcW w:type="dxa" w:w="2250"/>
          </w:tcPr>
          <w:p>
            <w:pPr>
              <w:jc w:val="left"/>
            </w:pPr>
            <w:r/>
            <w:r>
              <w:rPr>
                <w:sz w:val="20"/>
              </w:rPr>
              <w:t>C</w:t>
            </w:r>
          </w:p>
        </w:tc>
        <w:tc>
          <w:tcPr>
            <w:tcW w:type="dxa" w:w="2250"/>
          </w:tcPr>
          <w:p>
            <w:pPr>
              <w:jc w:val="left"/>
            </w:pPr>
            <w:r/>
            <w:r>
              <w:rPr>
                <w:sz w:val="20"/>
              </w:rPr>
              <w:t>Absolute threshold</w:t>
            </w:r>
          </w:p>
        </w:tc>
        <w:tc>
          <w:tcPr>
            <w:tcW w:type="dxa" w:w="2250"/>
          </w:tcPr>
          <w:p>
            <w:pPr>
              <w:jc w:val="left"/>
            </w:pPr>
            <w:r/>
            <w:r>
              <w:rPr>
                <w:sz w:val="20"/>
              </w:rPr>
              <w:t>Within-participant standardized</w:t>
            </w:r>
          </w:p>
        </w:tc>
        <w:tc>
          <w:tcPr>
            <w:tcW w:type="dxa" w:w="2250"/>
          </w:tcPr>
          <w:p>
            <w:pPr>
              <w:jc w:val="left"/>
            </w:pPr>
            <w:r/>
            <w:r>
              <w:rPr>
                <w:sz w:val="20"/>
              </w:rPr>
              <w:t>Included</w:t>
            </w:r>
          </w:p>
        </w:tc>
      </w:tr>
      <w:tr>
        <w:tc>
          <w:tcPr>
            <w:tcW w:type="dxa" w:w="2250"/>
          </w:tcPr>
          <w:p>
            <w:pPr>
              <w:jc w:val="left"/>
            </w:pPr>
            <w:r/>
            <w:r>
              <w:rPr>
                <w:sz w:val="20"/>
              </w:rPr>
              <w:t>C_no_lux</w:t>
            </w:r>
          </w:p>
        </w:tc>
        <w:tc>
          <w:tcPr>
            <w:tcW w:type="dxa" w:w="2250"/>
          </w:tcPr>
          <w:p>
            <w:pPr>
              <w:jc w:val="left"/>
            </w:pPr>
            <w:r/>
            <w:r>
              <w:rPr>
                <w:sz w:val="20"/>
              </w:rPr>
              <w:t>Absolute threshold</w:t>
            </w:r>
          </w:p>
        </w:tc>
        <w:tc>
          <w:tcPr>
            <w:tcW w:type="dxa" w:w="2250"/>
          </w:tcPr>
          <w:p>
            <w:pPr>
              <w:jc w:val="left"/>
            </w:pPr>
            <w:r/>
            <w:r>
              <w:rPr>
                <w:sz w:val="20"/>
              </w:rPr>
              <w:t>Within-participant standardized</w:t>
            </w:r>
          </w:p>
        </w:tc>
        <w:tc>
          <w:tcPr>
            <w:tcW w:type="dxa" w:w="2250"/>
          </w:tcPr>
          <w:p>
            <w:pPr>
              <w:jc w:val="left"/>
            </w:pPr>
            <w:r/>
            <w:r>
              <w:rPr>
                <w:sz w:val="20"/>
              </w:rPr>
              <w:t>Removed</w:t>
            </w:r>
          </w:p>
        </w:tc>
      </w:tr>
      <w:tr>
        <w:tc>
          <w:tcPr>
            <w:tcW w:type="dxa" w:w="2250"/>
          </w:tcPr>
          <w:p>
            <w:pPr>
              <w:jc w:val="left"/>
            </w:pPr>
            <w:r/>
            <w:r>
              <w:rPr>
                <w:sz w:val="20"/>
              </w:rPr>
              <w:t>D</w:t>
            </w:r>
          </w:p>
        </w:tc>
        <w:tc>
          <w:tcPr>
            <w:tcW w:type="dxa" w:w="2250"/>
          </w:tcPr>
          <w:p>
            <w:pPr>
              <w:jc w:val="left"/>
            </w:pPr>
            <w:r/>
            <w:r>
              <w:rPr>
                <w:sz w:val="20"/>
              </w:rPr>
              <w:t>Within-participant threshold</w:t>
            </w:r>
          </w:p>
        </w:tc>
        <w:tc>
          <w:tcPr>
            <w:tcW w:type="dxa" w:w="2250"/>
          </w:tcPr>
          <w:p>
            <w:pPr>
              <w:jc w:val="left"/>
            </w:pPr>
            <w:r/>
            <w:r>
              <w:rPr>
                <w:sz w:val="20"/>
              </w:rPr>
              <w:t>Raw</w:t>
            </w:r>
          </w:p>
        </w:tc>
        <w:tc>
          <w:tcPr>
            <w:tcW w:type="dxa" w:w="2250"/>
          </w:tcPr>
          <w:p>
            <w:pPr>
              <w:jc w:val="left"/>
            </w:pPr>
            <w:r/>
            <w:r>
              <w:rPr>
                <w:sz w:val="20"/>
              </w:rPr>
              <w:t>Included</w:t>
            </w:r>
          </w:p>
        </w:tc>
      </w:tr>
      <w:tr>
        <w:tc>
          <w:tcPr>
            <w:tcW w:type="dxa" w:w="2250"/>
          </w:tcPr>
          <w:p>
            <w:pPr>
              <w:jc w:val="left"/>
            </w:pPr>
            <w:r/>
            <w:r>
              <w:rPr>
                <w:sz w:val="20"/>
              </w:rPr>
              <w:t>D_no_lux</w:t>
            </w:r>
          </w:p>
        </w:tc>
        <w:tc>
          <w:tcPr>
            <w:tcW w:type="dxa" w:w="2250"/>
          </w:tcPr>
          <w:p>
            <w:pPr>
              <w:jc w:val="left"/>
            </w:pPr>
            <w:r/>
            <w:r>
              <w:rPr>
                <w:sz w:val="20"/>
              </w:rPr>
              <w:t>Within-participant threshold</w:t>
            </w:r>
          </w:p>
        </w:tc>
        <w:tc>
          <w:tcPr>
            <w:tcW w:type="dxa" w:w="2250"/>
          </w:tcPr>
          <w:p>
            <w:pPr>
              <w:jc w:val="left"/>
            </w:pPr>
            <w:r/>
            <w:r>
              <w:rPr>
                <w:sz w:val="20"/>
              </w:rPr>
              <w:t>Raw</w:t>
            </w:r>
          </w:p>
        </w:tc>
        <w:tc>
          <w:tcPr>
            <w:tcW w:type="dxa" w:w="2250"/>
          </w:tcPr>
          <w:p>
            <w:pPr>
              <w:jc w:val="left"/>
            </w:pPr>
            <w:r/>
            <w:r>
              <w:rPr>
                <w:sz w:val="20"/>
              </w:rPr>
              <w:t>Removed</w:t>
            </w:r>
          </w:p>
        </w:tc>
      </w:tr>
      <w:tr>
        <w:tc>
          <w:tcPr>
            <w:tcW w:type="dxa" w:w="2250"/>
          </w:tcPr>
          <w:p>
            <w:pPr>
              <w:jc w:val="left"/>
            </w:pPr>
            <w:r/>
            <w:r>
              <w:rPr>
                <w:sz w:val="20"/>
              </w:rPr>
              <w:t>E</w:t>
            </w:r>
          </w:p>
        </w:tc>
        <w:tc>
          <w:tcPr>
            <w:tcW w:type="dxa" w:w="2250"/>
          </w:tcPr>
          <w:p>
            <w:pPr>
              <w:jc w:val="left"/>
            </w:pPr>
            <w:r/>
            <w:r>
              <w:rPr>
                <w:sz w:val="20"/>
              </w:rPr>
              <w:t>Within-participant threshold</w:t>
            </w:r>
          </w:p>
        </w:tc>
        <w:tc>
          <w:tcPr>
            <w:tcW w:type="dxa" w:w="2250"/>
          </w:tcPr>
          <w:p>
            <w:pPr>
              <w:jc w:val="left"/>
            </w:pPr>
            <w:r/>
            <w:r>
              <w:rPr>
                <w:sz w:val="20"/>
              </w:rPr>
              <w:t>Within-participant standardized</w:t>
            </w:r>
          </w:p>
        </w:tc>
        <w:tc>
          <w:tcPr>
            <w:tcW w:type="dxa" w:w="2250"/>
          </w:tcPr>
          <w:p>
            <w:pPr>
              <w:jc w:val="left"/>
            </w:pPr>
            <w:r/>
            <w:r>
              <w:rPr>
                <w:sz w:val="20"/>
              </w:rPr>
              <w:t>Included</w:t>
            </w:r>
          </w:p>
        </w:tc>
      </w:tr>
      <w:tr>
        <w:tc>
          <w:tcPr>
            <w:tcW w:type="dxa" w:w="2250"/>
          </w:tcPr>
          <w:p>
            <w:pPr>
              <w:jc w:val="left"/>
            </w:pPr>
            <w:r/>
            <w:r>
              <w:rPr>
                <w:sz w:val="20"/>
              </w:rPr>
              <w:t>F</w:t>
            </w:r>
          </w:p>
        </w:tc>
        <w:tc>
          <w:tcPr>
            <w:tcW w:type="dxa" w:w="2250"/>
          </w:tcPr>
          <w:p>
            <w:pPr>
              <w:jc w:val="left"/>
            </w:pPr>
            <w:r/>
            <w:r>
              <w:rPr>
                <w:sz w:val="20"/>
              </w:rPr>
              <w:t>Within-participant threshold</w:t>
            </w:r>
          </w:p>
        </w:tc>
        <w:tc>
          <w:tcPr>
            <w:tcW w:type="dxa" w:w="2250"/>
          </w:tcPr>
          <w:p>
            <w:pPr>
              <w:jc w:val="left"/>
            </w:pPr>
            <w:r/>
            <w:r>
              <w:rPr>
                <w:sz w:val="20"/>
              </w:rPr>
              <w:t>Within-participant standardized</w:t>
            </w:r>
          </w:p>
        </w:tc>
        <w:tc>
          <w:tcPr>
            <w:tcW w:type="dxa" w:w="2250"/>
          </w:tcPr>
          <w:p>
            <w:pPr>
              <w:jc w:val="left"/>
            </w:pPr>
            <w:r/>
            <w:r>
              <w:rPr>
                <w:sz w:val="20"/>
              </w:rPr>
              <w:t>Removed</w:t>
            </w:r>
          </w:p>
        </w:tc>
      </w:tr>
    </w:tbl>
    <w:p>
      <w:pPr>
        <w:spacing w:after="120"/>
      </w:pPr>
    </w:p>
    <w:p>
      <w:pPr>
        <w:spacing w:line="360" w:lineRule="auto" w:after="200"/>
        <w:jc w:val="both"/>
      </w:pPr>
      <w:r>
        <w:t>Config E is the main analytical pipeline because it combines the participant-relative label with the participant-relative feature representation. The rest serve as ablation comparisons.</w:t>
      </w:r>
    </w:p>
    <w:p>
      <w:pPr>
        <w:pStyle w:val="Heading2"/>
      </w:pPr>
      <w:r>
        <w:t>3.7 Models</w:t>
      </w:r>
    </w:p>
    <w:p>
      <w:pPr>
        <w:spacing w:line="360" w:lineRule="auto" w:after="200"/>
        <w:jc w:val="both"/>
      </w:pPr>
      <w:r>
        <w:t>Two models are compared.</w:t>
      </w:r>
    </w:p>
    <w:p>
      <w:pPr>
        <w:spacing w:line="360" w:lineRule="auto" w:after="200"/>
        <w:jc w:val="both"/>
      </w:pPr>
      <w:r>
        <w:t>Logistic Regression runs as a pipeline with median imputation, missing-value indicators, feature scaling, and Logistic Regression classification. Median imputation is necessary because Logistic Regression cannot represent missing values directly.</w:t>
      </w:r>
    </w:p>
    <w:p>
      <w:pPr>
        <w:spacing w:line="360" w:lineRule="auto" w:after="200"/>
        <w:jc w:val="both"/>
      </w:pPr>
      <w:r>
        <w:t>XGBoost runs as a binary logistic classifier with histogram-based tree construction. Missing values are passed straight to the model, which learns default directions for missing-value splits.</w:t>
      </w:r>
    </w:p>
    <w:p>
      <w:pPr>
        <w:spacing w:line="360" w:lineRule="auto" w:after="200"/>
        <w:jc w:val="both"/>
      </w:pPr>
      <w:r>
        <w:t>Hyperparameters are tuned by grid search inside the training folds only.</w:t>
      </w:r>
    </w:p>
    <w:p>
      <w:pPr>
        <w:pStyle w:val="Heading2"/>
      </w:pPr>
      <w:r>
        <w:t>3.8 Evaluation Protocol</w:t>
      </w:r>
    </w:p>
    <w:p>
      <w:pPr>
        <w:spacing w:line="360" w:lineRule="auto" w:after="200"/>
        <w:jc w:val="both"/>
      </w:pPr>
      <w:r>
        <w:t>The study uses leave-one-participant-out validation. In each outer fold, every epoch from one participant is held out for testing while the remaining 25 participants supply the training data, giving 26 outer folds. Hyperparameter tuning uses stratified group cross-validation inside the training participants only. The design follows the subject-independent evaluation logic of workload classification research, where performance is estimated on participants the model never saw during training [10], [13].</w:t>
      </w:r>
    </w:p>
    <w:p>
      <w:pPr>
        <w:spacing w:line="360" w:lineRule="auto" w:after="200"/>
        <w:jc w:val="both"/>
      </w:pPr>
      <w:r>
        <w:t>No participant can appear in both training and testing within the same fold. That is stricter than random row-level splitting and gives a better picture of performance on unseen participants.</w:t>
      </w:r>
    </w:p>
    <w:p>
      <w:pPr>
        <w:pStyle w:val="Heading2"/>
      </w:pPr>
      <w:r>
        <w:t>3.9 Metrics and Statistical Comparison</w:t>
      </w:r>
    </w:p>
    <w:p>
      <w:pPr>
        <w:spacing w:line="360" w:lineRule="auto" w:after="200"/>
        <w:jc w:val="both"/>
      </w:pPr>
      <w:r>
        <w:t>The primary metric is pooled ROC-AUC across all held-out predictions. Secondary metrics are accuracy, balanced accuracy, precision, recall, and F1-score. Per-participant metrics are reported as well, to show how much performance varies from person to person. ROC-AUC leads because it evaluates discrimination across thresholds instead of depending on a single operating point [14].</w:t>
      </w:r>
    </w:p>
    <w:p>
      <w:pPr>
        <w:spacing w:line="360" w:lineRule="auto" w:after="200"/>
        <w:jc w:val="both"/>
      </w:pPr>
      <w:r>
        <w:t>The two models are compared with the paired Wilcoxon signed-rank test over participant-level scores wherever the metric is defined. That choice follows machine-learning guidance recommending nonparametric paired tests such as the Wilcoxon signed-rank test when comparing classifiers over matched evaluation units [15].</w:t>
      </w:r>
    </w:p>
    <w:p>
      <w:pPr>
        <w:pStyle w:val="Heading2"/>
      </w:pPr>
      <w:r>
        <w:t>3.10 Feature Importance Methods</w:t>
      </w:r>
    </w:p>
    <w:p>
      <w:pPr>
        <w:spacing w:line="360" w:lineRule="auto" w:after="200"/>
        <w:jc w:val="both"/>
      </w:pPr>
      <w:r>
        <w:t>For Logistic Regression, feature importance is analyzed through standardized coefficients across folds. For XGBoost, it is analyzed through gain importance and out-of-fold SHAP values. Out-of-fold explanations keep the feature attribution tied to held-out participant predictions.</w:t>
      </w:r>
    </w:p>
    <w:p>
      <w:pPr>
        <w:pStyle w:val="Heading1"/>
      </w:pPr>
      <w:r>
        <w:t>Chapter 4: Results and Discussion</w:t>
      </w:r>
    </w:p>
    <w:p>
      <w:pPr>
        <w:pStyle w:val="Heading2"/>
      </w:pPr>
      <w:r>
        <w:t>4.1 Dataset Summary</w:t>
      </w:r>
    </w:p>
    <w:p>
      <w:pPr>
        <w:spacing w:line="360" w:lineRule="auto" w:after="200"/>
        <w:jc w:val="both"/>
      </w:pPr>
      <w:r>
        <w:t>The dataset contains 130 complete recordings from 26 participants, five tasks each. The codebase reports 135,499 original 250 ms windows and 1,087 retained 30-second epochs. None of the 130 recordings showed timing discontinuities, and each contained exactly one workload rating.</w:t>
      </w:r>
    </w:p>
    <w:p>
      <w:pPr>
        <w:spacing w:line="360" w:lineRule="auto" w:after="200"/>
        <w:jc w:val="both"/>
      </w:pPr>
      <w:r>
        <w:t>Only one participant, P12, had a rating range below three points, so most participants varied their ratings across tasks even though participant-specific rating behavior still shaped the labels.</w:t>
      </w:r>
    </w:p>
    <w:p>
      <w:pPr>
        <w:pStyle w:val="Heading2"/>
      </w:pPr>
      <w:r>
        <w:t>4.2 Label Validity</w:t>
      </w:r>
    </w:p>
    <w:p>
      <w:pPr>
        <w:spacing w:line="360" w:lineRule="auto" w:after="200"/>
        <w:jc w:val="both"/>
      </w:pPr>
      <w:r>
        <w:t>The within-participant label agreed more closely with objective task difficulty than the absolute threshold. The absolute threshold reached a Spearman rho of 0.534 with task index, against 0.735 for the within-participant label. The within-participant label is therefore a reasonable analytical representation of relative workload.</w:t>
      </w:r>
    </w:p>
    <w:p>
      <w:pPr>
        <w:pStyle w:val="Heading2"/>
      </w:pPr>
      <w:r>
        <w:t>4.3 Overall Model Performance</w:t>
      </w:r>
    </w:p>
    <w:p>
      <w:pPr>
        <w:spacing w:line="360" w:lineRule="auto" w:after="200"/>
        <w:jc w:val="both"/>
      </w:pPr>
      <w:r>
        <w:t>XGBoost reached a higher pooled ROC-AUC than Logistic Regression in every configuration. Under Config E, the main analytical pipeline, Logistic Regression reached 0.621 and XGBoost reached 0.682. XGBoost was also more accurate under Config E, at 0.629 against 0.570.</w:t>
      </w:r>
    </w:p>
    <w:tbl>
      <w:tblPr>
        <w:tblStyle w:val="TableGrid"/>
        <w:tblW w:type="auto" w:w="0"/>
        <w:jc w:val="center"/>
        <w:tblLayout w:type="autofit"/>
        <w:tblLook w:firstColumn="1" w:firstRow="1" w:lastColumn="0" w:lastRow="0" w:noHBand="0" w:noVBand="1" w:val="04A0"/>
      </w:tblPr>
      <w:tblGrid>
        <w:gridCol w:w="1286"/>
        <w:gridCol w:w="1286"/>
        <w:gridCol w:w="1286"/>
        <w:gridCol w:w="1286"/>
        <w:gridCol w:w="1286"/>
        <w:gridCol w:w="1286"/>
        <w:gridCol w:w="1286"/>
      </w:tblGrid>
      <w:tr>
        <w:tc>
          <w:tcPr>
            <w:tcW w:type="dxa" w:w="1286"/>
          </w:tcPr>
          <w:p>
            <w:pPr>
              <w:jc w:val="left"/>
            </w:pPr>
            <w:r/>
            <w:r>
              <w:rPr>
                <w:b/>
                <w:sz w:val="20"/>
              </w:rPr>
              <w:t>Config</w:t>
            </w:r>
          </w:p>
        </w:tc>
        <w:tc>
          <w:tcPr>
            <w:tcW w:type="dxa" w:w="1286"/>
          </w:tcPr>
          <w:p>
            <w:pPr>
              <w:jc w:val="left"/>
            </w:pPr>
            <w:r/>
            <w:r>
              <w:rPr>
                <w:b/>
                <w:sz w:val="20"/>
              </w:rPr>
              <w:t>Model</w:t>
            </w:r>
          </w:p>
        </w:tc>
        <w:tc>
          <w:tcPr>
            <w:tcW w:type="dxa" w:w="1286"/>
          </w:tcPr>
          <w:p>
            <w:pPr>
              <w:jc w:val="right"/>
            </w:pPr>
            <w:r/>
            <w:r>
              <w:rPr>
                <w:b/>
                <w:sz w:val="20"/>
              </w:rPr>
              <w:t>Accuracy</w:t>
            </w:r>
          </w:p>
        </w:tc>
        <w:tc>
          <w:tcPr>
            <w:tcW w:type="dxa" w:w="1286"/>
          </w:tcPr>
          <w:p>
            <w:pPr>
              <w:jc w:val="right"/>
            </w:pPr>
            <w:r/>
            <w:r>
              <w:rPr>
                <w:b/>
                <w:sz w:val="20"/>
              </w:rPr>
              <w:t>Precision</w:t>
            </w:r>
          </w:p>
        </w:tc>
        <w:tc>
          <w:tcPr>
            <w:tcW w:type="dxa" w:w="1286"/>
          </w:tcPr>
          <w:p>
            <w:pPr>
              <w:jc w:val="right"/>
            </w:pPr>
            <w:r/>
            <w:r>
              <w:rPr>
                <w:b/>
                <w:sz w:val="20"/>
              </w:rPr>
              <w:t>Recall</w:t>
            </w:r>
          </w:p>
        </w:tc>
        <w:tc>
          <w:tcPr>
            <w:tcW w:type="dxa" w:w="1286"/>
          </w:tcPr>
          <w:p>
            <w:pPr>
              <w:jc w:val="right"/>
            </w:pPr>
            <w:r/>
            <w:r>
              <w:rPr>
                <w:b/>
                <w:sz w:val="20"/>
              </w:rPr>
              <w:t>F1</w:t>
            </w:r>
          </w:p>
        </w:tc>
        <w:tc>
          <w:tcPr>
            <w:tcW w:type="dxa" w:w="1286"/>
          </w:tcPr>
          <w:p>
            <w:pPr>
              <w:jc w:val="right"/>
            </w:pPr>
            <w:r/>
            <w:r>
              <w:rPr>
                <w:b/>
                <w:sz w:val="20"/>
              </w:rPr>
              <w:t>ROC-AUC</w:t>
            </w:r>
          </w:p>
        </w:tc>
      </w:tr>
      <w:tr>
        <w:tc>
          <w:tcPr>
            <w:tcW w:type="dxa" w:w="1286"/>
          </w:tcPr>
          <w:p>
            <w:pPr>
              <w:jc w:val="left"/>
            </w:pPr>
            <w:r/>
            <w:r>
              <w:rPr>
                <w:sz w:val="20"/>
              </w:rPr>
              <w:t>A</w:t>
            </w:r>
          </w:p>
        </w:tc>
        <w:tc>
          <w:tcPr>
            <w:tcW w:type="dxa" w:w="1286"/>
          </w:tcPr>
          <w:p>
            <w:pPr>
              <w:jc w:val="left"/>
            </w:pPr>
            <w:r/>
            <w:r>
              <w:rPr>
                <w:sz w:val="20"/>
              </w:rPr>
              <w:t>Logistic Regression</w:t>
            </w:r>
          </w:p>
        </w:tc>
        <w:tc>
          <w:tcPr>
            <w:tcW w:type="dxa" w:w="1286"/>
          </w:tcPr>
          <w:p>
            <w:pPr>
              <w:jc w:val="right"/>
            </w:pPr>
            <w:r/>
            <w:r>
              <w:rPr>
                <w:sz w:val="20"/>
              </w:rPr>
              <w:t>0.488</w:t>
            </w:r>
          </w:p>
        </w:tc>
        <w:tc>
          <w:tcPr>
            <w:tcW w:type="dxa" w:w="1286"/>
          </w:tcPr>
          <w:p>
            <w:pPr>
              <w:jc w:val="right"/>
            </w:pPr>
            <w:r/>
            <w:r>
              <w:rPr>
                <w:sz w:val="20"/>
              </w:rPr>
              <w:t>0.515</w:t>
            </w:r>
          </w:p>
        </w:tc>
        <w:tc>
          <w:tcPr>
            <w:tcW w:type="dxa" w:w="1286"/>
          </w:tcPr>
          <w:p>
            <w:pPr>
              <w:jc w:val="right"/>
            </w:pPr>
            <w:r/>
            <w:r>
              <w:rPr>
                <w:sz w:val="20"/>
              </w:rPr>
              <w:t>0.561</w:t>
            </w:r>
          </w:p>
        </w:tc>
        <w:tc>
          <w:tcPr>
            <w:tcW w:type="dxa" w:w="1286"/>
          </w:tcPr>
          <w:p>
            <w:pPr>
              <w:jc w:val="right"/>
            </w:pPr>
            <w:r/>
            <w:r>
              <w:rPr>
                <w:sz w:val="20"/>
              </w:rPr>
              <w:t>0.537</w:t>
            </w:r>
          </w:p>
        </w:tc>
        <w:tc>
          <w:tcPr>
            <w:tcW w:type="dxa" w:w="1286"/>
          </w:tcPr>
          <w:p>
            <w:pPr>
              <w:jc w:val="right"/>
            </w:pPr>
            <w:r/>
            <w:r>
              <w:rPr>
                <w:sz w:val="20"/>
              </w:rPr>
              <w:t>0.479</w:t>
            </w:r>
          </w:p>
        </w:tc>
      </w:tr>
      <w:tr>
        <w:tc>
          <w:tcPr>
            <w:tcW w:type="dxa" w:w="1286"/>
          </w:tcPr>
          <w:p>
            <w:pPr>
              <w:jc w:val="left"/>
            </w:pPr>
            <w:r/>
            <w:r>
              <w:rPr>
                <w:sz w:val="20"/>
              </w:rPr>
              <w:t>A</w:t>
            </w:r>
          </w:p>
        </w:tc>
        <w:tc>
          <w:tcPr>
            <w:tcW w:type="dxa" w:w="1286"/>
          </w:tcPr>
          <w:p>
            <w:pPr>
              <w:jc w:val="left"/>
            </w:pPr>
            <w:r/>
            <w:r>
              <w:rPr>
                <w:sz w:val="20"/>
              </w:rPr>
              <w:t>XGBoost</w:t>
            </w:r>
          </w:p>
        </w:tc>
        <w:tc>
          <w:tcPr>
            <w:tcW w:type="dxa" w:w="1286"/>
          </w:tcPr>
          <w:p>
            <w:pPr>
              <w:jc w:val="right"/>
            </w:pPr>
            <w:r/>
            <w:r>
              <w:rPr>
                <w:sz w:val="20"/>
              </w:rPr>
              <w:t>0.526</w:t>
            </w:r>
          </w:p>
        </w:tc>
        <w:tc>
          <w:tcPr>
            <w:tcW w:type="dxa" w:w="1286"/>
          </w:tcPr>
          <w:p>
            <w:pPr>
              <w:jc w:val="right"/>
            </w:pPr>
            <w:r/>
            <w:r>
              <w:rPr>
                <w:sz w:val="20"/>
              </w:rPr>
              <w:t>0.550</w:t>
            </w:r>
          </w:p>
        </w:tc>
        <w:tc>
          <w:tcPr>
            <w:tcW w:type="dxa" w:w="1286"/>
          </w:tcPr>
          <w:p>
            <w:pPr>
              <w:jc w:val="right"/>
            </w:pPr>
            <w:r/>
            <w:r>
              <w:rPr>
                <w:sz w:val="20"/>
              </w:rPr>
              <w:t>0.580</w:t>
            </w:r>
          </w:p>
        </w:tc>
        <w:tc>
          <w:tcPr>
            <w:tcW w:type="dxa" w:w="1286"/>
          </w:tcPr>
          <w:p>
            <w:pPr>
              <w:jc w:val="right"/>
            </w:pPr>
            <w:r/>
            <w:r>
              <w:rPr>
                <w:sz w:val="20"/>
              </w:rPr>
              <w:t>0.565</w:t>
            </w:r>
          </w:p>
        </w:tc>
        <w:tc>
          <w:tcPr>
            <w:tcW w:type="dxa" w:w="1286"/>
          </w:tcPr>
          <w:p>
            <w:pPr>
              <w:jc w:val="right"/>
            </w:pPr>
            <w:r/>
            <w:r>
              <w:rPr>
                <w:sz w:val="20"/>
              </w:rPr>
              <w:t>0.530</w:t>
            </w:r>
          </w:p>
        </w:tc>
      </w:tr>
      <w:tr>
        <w:tc>
          <w:tcPr>
            <w:tcW w:type="dxa" w:w="1286"/>
          </w:tcPr>
          <w:p>
            <w:pPr>
              <w:jc w:val="left"/>
            </w:pPr>
            <w:r/>
            <w:r>
              <w:rPr>
                <w:sz w:val="20"/>
              </w:rPr>
              <w:t>B</w:t>
            </w:r>
          </w:p>
        </w:tc>
        <w:tc>
          <w:tcPr>
            <w:tcW w:type="dxa" w:w="1286"/>
          </w:tcPr>
          <w:p>
            <w:pPr>
              <w:jc w:val="left"/>
            </w:pPr>
            <w:r/>
            <w:r>
              <w:rPr>
                <w:sz w:val="20"/>
              </w:rPr>
              <w:t>Logistic Regression</w:t>
            </w:r>
          </w:p>
        </w:tc>
        <w:tc>
          <w:tcPr>
            <w:tcW w:type="dxa" w:w="1286"/>
          </w:tcPr>
          <w:p>
            <w:pPr>
              <w:jc w:val="right"/>
            </w:pPr>
            <w:r/>
            <w:r>
              <w:rPr>
                <w:sz w:val="20"/>
              </w:rPr>
              <w:t>0.467</w:t>
            </w:r>
          </w:p>
        </w:tc>
        <w:tc>
          <w:tcPr>
            <w:tcW w:type="dxa" w:w="1286"/>
          </w:tcPr>
          <w:p>
            <w:pPr>
              <w:jc w:val="right"/>
            </w:pPr>
            <w:r/>
            <w:r>
              <w:rPr>
                <w:sz w:val="20"/>
              </w:rPr>
              <w:t>0.498</w:t>
            </w:r>
          </w:p>
        </w:tc>
        <w:tc>
          <w:tcPr>
            <w:tcW w:type="dxa" w:w="1286"/>
          </w:tcPr>
          <w:p>
            <w:pPr>
              <w:jc w:val="right"/>
            </w:pPr>
            <w:r/>
            <w:r>
              <w:rPr>
                <w:sz w:val="20"/>
              </w:rPr>
              <w:t>0.580</w:t>
            </w:r>
          </w:p>
        </w:tc>
        <w:tc>
          <w:tcPr>
            <w:tcW w:type="dxa" w:w="1286"/>
          </w:tcPr>
          <w:p>
            <w:pPr>
              <w:jc w:val="right"/>
            </w:pPr>
            <w:r/>
            <w:r>
              <w:rPr>
                <w:sz w:val="20"/>
              </w:rPr>
              <w:t>0.536</w:t>
            </w:r>
          </w:p>
        </w:tc>
        <w:tc>
          <w:tcPr>
            <w:tcW w:type="dxa" w:w="1286"/>
          </w:tcPr>
          <w:p>
            <w:pPr>
              <w:jc w:val="right"/>
            </w:pPr>
            <w:r/>
            <w:r>
              <w:rPr>
                <w:sz w:val="20"/>
              </w:rPr>
              <w:t>0.446</w:t>
            </w:r>
          </w:p>
        </w:tc>
      </w:tr>
      <w:tr>
        <w:tc>
          <w:tcPr>
            <w:tcW w:type="dxa" w:w="1286"/>
          </w:tcPr>
          <w:p>
            <w:pPr>
              <w:jc w:val="left"/>
            </w:pPr>
            <w:r/>
            <w:r>
              <w:rPr>
                <w:sz w:val="20"/>
              </w:rPr>
              <w:t>B</w:t>
            </w:r>
          </w:p>
        </w:tc>
        <w:tc>
          <w:tcPr>
            <w:tcW w:type="dxa" w:w="1286"/>
          </w:tcPr>
          <w:p>
            <w:pPr>
              <w:jc w:val="left"/>
            </w:pPr>
            <w:r/>
            <w:r>
              <w:rPr>
                <w:sz w:val="20"/>
              </w:rPr>
              <w:t>XGBoost</w:t>
            </w:r>
          </w:p>
        </w:tc>
        <w:tc>
          <w:tcPr>
            <w:tcW w:type="dxa" w:w="1286"/>
          </w:tcPr>
          <w:p>
            <w:pPr>
              <w:jc w:val="right"/>
            </w:pPr>
            <w:r/>
            <w:r>
              <w:rPr>
                <w:sz w:val="20"/>
              </w:rPr>
              <w:t>0.510</w:t>
            </w:r>
          </w:p>
        </w:tc>
        <w:tc>
          <w:tcPr>
            <w:tcW w:type="dxa" w:w="1286"/>
          </w:tcPr>
          <w:p>
            <w:pPr>
              <w:jc w:val="right"/>
            </w:pPr>
            <w:r/>
            <w:r>
              <w:rPr>
                <w:sz w:val="20"/>
              </w:rPr>
              <w:t>0.535</w:t>
            </w:r>
          </w:p>
        </w:tc>
        <w:tc>
          <w:tcPr>
            <w:tcW w:type="dxa" w:w="1286"/>
          </w:tcPr>
          <w:p>
            <w:pPr>
              <w:jc w:val="right"/>
            </w:pPr>
            <w:r/>
            <w:r>
              <w:rPr>
                <w:sz w:val="20"/>
              </w:rPr>
              <w:t>0.564</w:t>
            </w:r>
          </w:p>
        </w:tc>
        <w:tc>
          <w:tcPr>
            <w:tcW w:type="dxa" w:w="1286"/>
          </w:tcPr>
          <w:p>
            <w:pPr>
              <w:jc w:val="right"/>
            </w:pPr>
            <w:r/>
            <w:r>
              <w:rPr>
                <w:sz w:val="20"/>
              </w:rPr>
              <w:t>0.549</w:t>
            </w:r>
          </w:p>
        </w:tc>
        <w:tc>
          <w:tcPr>
            <w:tcW w:type="dxa" w:w="1286"/>
          </w:tcPr>
          <w:p>
            <w:pPr>
              <w:jc w:val="right"/>
            </w:pPr>
            <w:r/>
            <w:r>
              <w:rPr>
                <w:sz w:val="20"/>
              </w:rPr>
              <w:t>0.501</w:t>
            </w:r>
          </w:p>
        </w:tc>
      </w:tr>
      <w:tr>
        <w:tc>
          <w:tcPr>
            <w:tcW w:type="dxa" w:w="1286"/>
          </w:tcPr>
          <w:p>
            <w:pPr>
              <w:jc w:val="left"/>
            </w:pPr>
            <w:r/>
            <w:r>
              <w:rPr>
                <w:sz w:val="20"/>
              </w:rPr>
              <w:t>C</w:t>
            </w:r>
          </w:p>
        </w:tc>
        <w:tc>
          <w:tcPr>
            <w:tcW w:type="dxa" w:w="1286"/>
          </w:tcPr>
          <w:p>
            <w:pPr>
              <w:jc w:val="left"/>
            </w:pPr>
            <w:r/>
            <w:r>
              <w:rPr>
                <w:sz w:val="20"/>
              </w:rPr>
              <w:t>Logistic Regression</w:t>
            </w:r>
          </w:p>
        </w:tc>
        <w:tc>
          <w:tcPr>
            <w:tcW w:type="dxa" w:w="1286"/>
          </w:tcPr>
          <w:p>
            <w:pPr>
              <w:jc w:val="right"/>
            </w:pPr>
            <w:r/>
            <w:r>
              <w:rPr>
                <w:sz w:val="20"/>
              </w:rPr>
              <w:t>0.519</w:t>
            </w:r>
          </w:p>
        </w:tc>
        <w:tc>
          <w:tcPr>
            <w:tcW w:type="dxa" w:w="1286"/>
          </w:tcPr>
          <w:p>
            <w:pPr>
              <w:jc w:val="right"/>
            </w:pPr>
            <w:r/>
            <w:r>
              <w:rPr>
                <w:sz w:val="20"/>
              </w:rPr>
              <w:t>0.539</w:t>
            </w:r>
          </w:p>
        </w:tc>
        <w:tc>
          <w:tcPr>
            <w:tcW w:type="dxa" w:w="1286"/>
          </w:tcPr>
          <w:p>
            <w:pPr>
              <w:jc w:val="right"/>
            </w:pPr>
            <w:r/>
            <w:r>
              <w:rPr>
                <w:sz w:val="20"/>
              </w:rPr>
              <w:t>0.635</w:t>
            </w:r>
          </w:p>
        </w:tc>
        <w:tc>
          <w:tcPr>
            <w:tcW w:type="dxa" w:w="1286"/>
          </w:tcPr>
          <w:p>
            <w:pPr>
              <w:jc w:val="right"/>
            </w:pPr>
            <w:r/>
            <w:r>
              <w:rPr>
                <w:sz w:val="20"/>
              </w:rPr>
              <w:t>0.583</w:t>
            </w:r>
          </w:p>
        </w:tc>
        <w:tc>
          <w:tcPr>
            <w:tcW w:type="dxa" w:w="1286"/>
          </w:tcPr>
          <w:p>
            <w:pPr>
              <w:jc w:val="right"/>
            </w:pPr>
            <w:r/>
            <w:r>
              <w:rPr>
                <w:sz w:val="20"/>
              </w:rPr>
              <w:t>0.514</w:t>
            </w:r>
          </w:p>
        </w:tc>
      </w:tr>
      <w:tr>
        <w:tc>
          <w:tcPr>
            <w:tcW w:type="dxa" w:w="1286"/>
          </w:tcPr>
          <w:p>
            <w:pPr>
              <w:jc w:val="left"/>
            </w:pPr>
            <w:r/>
            <w:r>
              <w:rPr>
                <w:sz w:val="20"/>
              </w:rPr>
              <w:t>C</w:t>
            </w:r>
          </w:p>
        </w:tc>
        <w:tc>
          <w:tcPr>
            <w:tcW w:type="dxa" w:w="1286"/>
          </w:tcPr>
          <w:p>
            <w:pPr>
              <w:jc w:val="left"/>
            </w:pPr>
            <w:r/>
            <w:r>
              <w:rPr>
                <w:sz w:val="20"/>
              </w:rPr>
              <w:t>XGBoost</w:t>
            </w:r>
          </w:p>
        </w:tc>
        <w:tc>
          <w:tcPr>
            <w:tcW w:type="dxa" w:w="1286"/>
          </w:tcPr>
          <w:p>
            <w:pPr>
              <w:jc w:val="right"/>
            </w:pPr>
            <w:r/>
            <w:r>
              <w:rPr>
                <w:sz w:val="20"/>
              </w:rPr>
              <w:t>0.534</w:t>
            </w:r>
          </w:p>
        </w:tc>
        <w:tc>
          <w:tcPr>
            <w:tcW w:type="dxa" w:w="1286"/>
          </w:tcPr>
          <w:p>
            <w:pPr>
              <w:jc w:val="right"/>
            </w:pPr>
            <w:r/>
            <w:r>
              <w:rPr>
                <w:sz w:val="20"/>
              </w:rPr>
              <w:t>0.558</w:t>
            </w:r>
          </w:p>
        </w:tc>
        <w:tc>
          <w:tcPr>
            <w:tcW w:type="dxa" w:w="1286"/>
          </w:tcPr>
          <w:p>
            <w:pPr>
              <w:jc w:val="right"/>
            </w:pPr>
            <w:r/>
            <w:r>
              <w:rPr>
                <w:sz w:val="20"/>
              </w:rPr>
              <w:t>0.585</w:t>
            </w:r>
          </w:p>
        </w:tc>
        <w:tc>
          <w:tcPr>
            <w:tcW w:type="dxa" w:w="1286"/>
          </w:tcPr>
          <w:p>
            <w:pPr>
              <w:jc w:val="right"/>
            </w:pPr>
            <w:r/>
            <w:r>
              <w:rPr>
                <w:sz w:val="20"/>
              </w:rPr>
              <w:t>0.571</w:t>
            </w:r>
          </w:p>
        </w:tc>
        <w:tc>
          <w:tcPr>
            <w:tcW w:type="dxa" w:w="1286"/>
          </w:tcPr>
          <w:p>
            <w:pPr>
              <w:jc w:val="right"/>
            </w:pPr>
            <w:r/>
            <w:r>
              <w:rPr>
                <w:sz w:val="20"/>
              </w:rPr>
              <w:t>0.550</w:t>
            </w:r>
          </w:p>
        </w:tc>
      </w:tr>
      <w:tr>
        <w:tc>
          <w:tcPr>
            <w:tcW w:type="dxa" w:w="1286"/>
          </w:tcPr>
          <w:p>
            <w:pPr>
              <w:jc w:val="left"/>
            </w:pPr>
            <w:r/>
            <w:r>
              <w:rPr>
                <w:sz w:val="20"/>
              </w:rPr>
              <w:t>C_no_lux</w:t>
            </w:r>
          </w:p>
        </w:tc>
        <w:tc>
          <w:tcPr>
            <w:tcW w:type="dxa" w:w="1286"/>
          </w:tcPr>
          <w:p>
            <w:pPr>
              <w:jc w:val="left"/>
            </w:pPr>
            <w:r/>
            <w:r>
              <w:rPr>
                <w:sz w:val="20"/>
              </w:rPr>
              <w:t>Logistic Regression</w:t>
            </w:r>
          </w:p>
        </w:tc>
        <w:tc>
          <w:tcPr>
            <w:tcW w:type="dxa" w:w="1286"/>
          </w:tcPr>
          <w:p>
            <w:pPr>
              <w:jc w:val="right"/>
            </w:pPr>
            <w:r/>
            <w:r>
              <w:rPr>
                <w:sz w:val="20"/>
              </w:rPr>
              <w:t>0.506</w:t>
            </w:r>
          </w:p>
        </w:tc>
        <w:tc>
          <w:tcPr>
            <w:tcW w:type="dxa" w:w="1286"/>
          </w:tcPr>
          <w:p>
            <w:pPr>
              <w:jc w:val="right"/>
            </w:pPr>
            <w:r/>
            <w:r>
              <w:rPr>
                <w:sz w:val="20"/>
              </w:rPr>
              <w:t>0.527</w:t>
            </w:r>
          </w:p>
        </w:tc>
        <w:tc>
          <w:tcPr>
            <w:tcW w:type="dxa" w:w="1286"/>
          </w:tcPr>
          <w:p>
            <w:pPr>
              <w:jc w:val="right"/>
            </w:pPr>
            <w:r/>
            <w:r>
              <w:rPr>
                <w:sz w:val="20"/>
              </w:rPr>
              <w:t>0.667</w:t>
            </w:r>
          </w:p>
        </w:tc>
        <w:tc>
          <w:tcPr>
            <w:tcW w:type="dxa" w:w="1286"/>
          </w:tcPr>
          <w:p>
            <w:pPr>
              <w:jc w:val="right"/>
            </w:pPr>
            <w:r/>
            <w:r>
              <w:rPr>
                <w:sz w:val="20"/>
              </w:rPr>
              <w:t>0.589</w:t>
            </w:r>
          </w:p>
        </w:tc>
        <w:tc>
          <w:tcPr>
            <w:tcW w:type="dxa" w:w="1286"/>
          </w:tcPr>
          <w:p>
            <w:pPr>
              <w:jc w:val="right"/>
            </w:pPr>
            <w:r/>
            <w:r>
              <w:rPr>
                <w:sz w:val="20"/>
              </w:rPr>
              <w:t>0.499</w:t>
            </w:r>
          </w:p>
        </w:tc>
      </w:tr>
      <w:tr>
        <w:tc>
          <w:tcPr>
            <w:tcW w:type="dxa" w:w="1286"/>
          </w:tcPr>
          <w:p>
            <w:pPr>
              <w:jc w:val="left"/>
            </w:pPr>
            <w:r/>
            <w:r>
              <w:rPr>
                <w:sz w:val="20"/>
              </w:rPr>
              <w:t>C_no_lux</w:t>
            </w:r>
          </w:p>
        </w:tc>
        <w:tc>
          <w:tcPr>
            <w:tcW w:type="dxa" w:w="1286"/>
          </w:tcPr>
          <w:p>
            <w:pPr>
              <w:jc w:val="left"/>
            </w:pPr>
            <w:r/>
            <w:r>
              <w:rPr>
                <w:sz w:val="20"/>
              </w:rPr>
              <w:t>XGBoost</w:t>
            </w:r>
          </w:p>
        </w:tc>
        <w:tc>
          <w:tcPr>
            <w:tcW w:type="dxa" w:w="1286"/>
          </w:tcPr>
          <w:p>
            <w:pPr>
              <w:jc w:val="right"/>
            </w:pPr>
            <w:r/>
            <w:r>
              <w:rPr>
                <w:sz w:val="20"/>
              </w:rPr>
              <w:t>0.522</w:t>
            </w:r>
          </w:p>
        </w:tc>
        <w:tc>
          <w:tcPr>
            <w:tcW w:type="dxa" w:w="1286"/>
          </w:tcPr>
          <w:p>
            <w:pPr>
              <w:jc w:val="right"/>
            </w:pPr>
            <w:r/>
            <w:r>
              <w:rPr>
                <w:sz w:val="20"/>
              </w:rPr>
              <w:t>0.544</w:t>
            </w:r>
          </w:p>
        </w:tc>
        <w:tc>
          <w:tcPr>
            <w:tcW w:type="dxa" w:w="1286"/>
          </w:tcPr>
          <w:p>
            <w:pPr>
              <w:jc w:val="right"/>
            </w:pPr>
            <w:r/>
            <w:r>
              <w:rPr>
                <w:sz w:val="20"/>
              </w:rPr>
              <w:t>0.613</w:t>
            </w:r>
          </w:p>
        </w:tc>
        <w:tc>
          <w:tcPr>
            <w:tcW w:type="dxa" w:w="1286"/>
          </w:tcPr>
          <w:p>
            <w:pPr>
              <w:jc w:val="right"/>
            </w:pPr>
            <w:r/>
            <w:r>
              <w:rPr>
                <w:sz w:val="20"/>
              </w:rPr>
              <w:t>0.576</w:t>
            </w:r>
          </w:p>
        </w:tc>
        <w:tc>
          <w:tcPr>
            <w:tcW w:type="dxa" w:w="1286"/>
          </w:tcPr>
          <w:p>
            <w:pPr>
              <w:jc w:val="right"/>
            </w:pPr>
            <w:r/>
            <w:r>
              <w:rPr>
                <w:sz w:val="20"/>
              </w:rPr>
              <w:t>0.528</w:t>
            </w:r>
          </w:p>
        </w:tc>
      </w:tr>
      <w:tr>
        <w:tc>
          <w:tcPr>
            <w:tcW w:type="dxa" w:w="1286"/>
          </w:tcPr>
          <w:p>
            <w:pPr>
              <w:jc w:val="left"/>
            </w:pPr>
            <w:r/>
            <w:r>
              <w:rPr>
                <w:sz w:val="20"/>
              </w:rPr>
              <w:t>D</w:t>
            </w:r>
          </w:p>
        </w:tc>
        <w:tc>
          <w:tcPr>
            <w:tcW w:type="dxa" w:w="1286"/>
          </w:tcPr>
          <w:p>
            <w:pPr>
              <w:jc w:val="left"/>
            </w:pPr>
            <w:r/>
            <w:r>
              <w:rPr>
                <w:sz w:val="20"/>
              </w:rPr>
              <w:t>Logistic Regression</w:t>
            </w:r>
          </w:p>
        </w:tc>
        <w:tc>
          <w:tcPr>
            <w:tcW w:type="dxa" w:w="1286"/>
          </w:tcPr>
          <w:p>
            <w:pPr>
              <w:jc w:val="right"/>
            </w:pPr>
            <w:r/>
            <w:r>
              <w:rPr>
                <w:sz w:val="20"/>
              </w:rPr>
              <w:t>0.535</w:t>
            </w:r>
          </w:p>
        </w:tc>
        <w:tc>
          <w:tcPr>
            <w:tcW w:type="dxa" w:w="1286"/>
          </w:tcPr>
          <w:p>
            <w:pPr>
              <w:jc w:val="right"/>
            </w:pPr>
            <w:r/>
            <w:r>
              <w:rPr>
                <w:sz w:val="20"/>
              </w:rPr>
              <w:t>0.559</w:t>
            </w:r>
          </w:p>
        </w:tc>
        <w:tc>
          <w:tcPr>
            <w:tcW w:type="dxa" w:w="1286"/>
          </w:tcPr>
          <w:p>
            <w:pPr>
              <w:jc w:val="right"/>
            </w:pPr>
            <w:r/>
            <w:r>
              <w:rPr>
                <w:sz w:val="20"/>
              </w:rPr>
              <w:t>0.602</w:t>
            </w:r>
          </w:p>
        </w:tc>
        <w:tc>
          <w:tcPr>
            <w:tcW w:type="dxa" w:w="1286"/>
          </w:tcPr>
          <w:p>
            <w:pPr>
              <w:jc w:val="right"/>
            </w:pPr>
            <w:r/>
            <w:r>
              <w:rPr>
                <w:sz w:val="20"/>
              </w:rPr>
              <w:t>0.580</w:t>
            </w:r>
          </w:p>
        </w:tc>
        <w:tc>
          <w:tcPr>
            <w:tcW w:type="dxa" w:w="1286"/>
          </w:tcPr>
          <w:p>
            <w:pPr>
              <w:jc w:val="right"/>
            </w:pPr>
            <w:r/>
            <w:r>
              <w:rPr>
                <w:sz w:val="20"/>
              </w:rPr>
              <w:t>0.565</w:t>
            </w:r>
          </w:p>
        </w:tc>
      </w:tr>
      <w:tr>
        <w:tc>
          <w:tcPr>
            <w:tcW w:type="dxa" w:w="1286"/>
          </w:tcPr>
          <w:p>
            <w:pPr>
              <w:jc w:val="left"/>
            </w:pPr>
            <w:r/>
            <w:r>
              <w:rPr>
                <w:sz w:val="20"/>
              </w:rPr>
              <w:t>D</w:t>
            </w:r>
          </w:p>
        </w:tc>
        <w:tc>
          <w:tcPr>
            <w:tcW w:type="dxa" w:w="1286"/>
          </w:tcPr>
          <w:p>
            <w:pPr>
              <w:jc w:val="left"/>
            </w:pPr>
            <w:r/>
            <w:r>
              <w:rPr>
                <w:sz w:val="20"/>
              </w:rPr>
              <w:t>XGBoost</w:t>
            </w:r>
          </w:p>
        </w:tc>
        <w:tc>
          <w:tcPr>
            <w:tcW w:type="dxa" w:w="1286"/>
          </w:tcPr>
          <w:p>
            <w:pPr>
              <w:jc w:val="right"/>
            </w:pPr>
            <w:r/>
            <w:r>
              <w:rPr>
                <w:sz w:val="20"/>
              </w:rPr>
              <w:t>0.579</w:t>
            </w:r>
          </w:p>
        </w:tc>
        <w:tc>
          <w:tcPr>
            <w:tcW w:type="dxa" w:w="1286"/>
          </w:tcPr>
          <w:p>
            <w:pPr>
              <w:jc w:val="right"/>
            </w:pPr>
            <w:r/>
            <w:r>
              <w:rPr>
                <w:sz w:val="20"/>
              </w:rPr>
              <w:t>0.604</w:t>
            </w:r>
          </w:p>
        </w:tc>
        <w:tc>
          <w:tcPr>
            <w:tcW w:type="dxa" w:w="1286"/>
          </w:tcPr>
          <w:p>
            <w:pPr>
              <w:jc w:val="right"/>
            </w:pPr>
            <w:r/>
            <w:r>
              <w:rPr>
                <w:sz w:val="20"/>
              </w:rPr>
              <w:t>0.611</w:t>
            </w:r>
          </w:p>
        </w:tc>
        <w:tc>
          <w:tcPr>
            <w:tcW w:type="dxa" w:w="1286"/>
          </w:tcPr>
          <w:p>
            <w:pPr>
              <w:jc w:val="right"/>
            </w:pPr>
            <w:r/>
            <w:r>
              <w:rPr>
                <w:sz w:val="20"/>
              </w:rPr>
              <w:t>0.608</w:t>
            </w:r>
          </w:p>
        </w:tc>
        <w:tc>
          <w:tcPr>
            <w:tcW w:type="dxa" w:w="1286"/>
          </w:tcPr>
          <w:p>
            <w:pPr>
              <w:jc w:val="right"/>
            </w:pPr>
            <w:r/>
            <w:r>
              <w:rPr>
                <w:sz w:val="20"/>
              </w:rPr>
              <w:t>0.628</w:t>
            </w:r>
          </w:p>
        </w:tc>
      </w:tr>
      <w:tr>
        <w:tc>
          <w:tcPr>
            <w:tcW w:type="dxa" w:w="1286"/>
          </w:tcPr>
          <w:p>
            <w:pPr>
              <w:jc w:val="left"/>
            </w:pPr>
            <w:r/>
            <w:r>
              <w:rPr>
                <w:sz w:val="20"/>
              </w:rPr>
              <w:t>D_no_lux</w:t>
            </w:r>
          </w:p>
        </w:tc>
        <w:tc>
          <w:tcPr>
            <w:tcW w:type="dxa" w:w="1286"/>
          </w:tcPr>
          <w:p>
            <w:pPr>
              <w:jc w:val="left"/>
            </w:pPr>
            <w:r/>
            <w:r>
              <w:rPr>
                <w:sz w:val="20"/>
              </w:rPr>
              <w:t>Logistic Regression</w:t>
            </w:r>
          </w:p>
        </w:tc>
        <w:tc>
          <w:tcPr>
            <w:tcW w:type="dxa" w:w="1286"/>
          </w:tcPr>
          <w:p>
            <w:pPr>
              <w:jc w:val="right"/>
            </w:pPr>
            <w:r/>
            <w:r>
              <w:rPr>
                <w:sz w:val="20"/>
              </w:rPr>
              <w:t>0.506</w:t>
            </w:r>
          </w:p>
        </w:tc>
        <w:tc>
          <w:tcPr>
            <w:tcW w:type="dxa" w:w="1286"/>
          </w:tcPr>
          <w:p>
            <w:pPr>
              <w:jc w:val="right"/>
            </w:pPr>
            <w:r/>
            <w:r>
              <w:rPr>
                <w:sz w:val="20"/>
              </w:rPr>
              <w:t>0.532</w:t>
            </w:r>
          </w:p>
        </w:tc>
        <w:tc>
          <w:tcPr>
            <w:tcW w:type="dxa" w:w="1286"/>
          </w:tcPr>
          <w:p>
            <w:pPr>
              <w:jc w:val="right"/>
            </w:pPr>
            <w:r/>
            <w:r>
              <w:rPr>
                <w:sz w:val="20"/>
              </w:rPr>
              <w:t>0.616</w:t>
            </w:r>
          </w:p>
        </w:tc>
        <w:tc>
          <w:tcPr>
            <w:tcW w:type="dxa" w:w="1286"/>
          </w:tcPr>
          <w:p>
            <w:pPr>
              <w:jc w:val="right"/>
            </w:pPr>
            <w:r/>
            <w:r>
              <w:rPr>
                <w:sz w:val="20"/>
              </w:rPr>
              <w:t>0.571</w:t>
            </w:r>
          </w:p>
        </w:tc>
        <w:tc>
          <w:tcPr>
            <w:tcW w:type="dxa" w:w="1286"/>
          </w:tcPr>
          <w:p>
            <w:pPr>
              <w:jc w:val="right"/>
            </w:pPr>
            <w:r/>
            <w:r>
              <w:rPr>
                <w:sz w:val="20"/>
              </w:rPr>
              <w:t>0.488</w:t>
            </w:r>
          </w:p>
        </w:tc>
      </w:tr>
      <w:tr>
        <w:tc>
          <w:tcPr>
            <w:tcW w:type="dxa" w:w="1286"/>
          </w:tcPr>
          <w:p>
            <w:pPr>
              <w:jc w:val="left"/>
            </w:pPr>
            <w:r/>
            <w:r>
              <w:rPr>
                <w:sz w:val="20"/>
              </w:rPr>
              <w:t>D_no_lux</w:t>
            </w:r>
          </w:p>
        </w:tc>
        <w:tc>
          <w:tcPr>
            <w:tcW w:type="dxa" w:w="1286"/>
          </w:tcPr>
          <w:p>
            <w:pPr>
              <w:jc w:val="left"/>
            </w:pPr>
            <w:r/>
            <w:r>
              <w:rPr>
                <w:sz w:val="20"/>
              </w:rPr>
              <w:t>XGBoost</w:t>
            </w:r>
          </w:p>
        </w:tc>
        <w:tc>
          <w:tcPr>
            <w:tcW w:type="dxa" w:w="1286"/>
          </w:tcPr>
          <w:p>
            <w:pPr>
              <w:jc w:val="right"/>
            </w:pPr>
            <w:r/>
            <w:r>
              <w:rPr>
                <w:sz w:val="20"/>
              </w:rPr>
              <w:t>0.527</w:t>
            </w:r>
          </w:p>
        </w:tc>
        <w:tc>
          <w:tcPr>
            <w:tcW w:type="dxa" w:w="1286"/>
          </w:tcPr>
          <w:p>
            <w:pPr>
              <w:jc w:val="right"/>
            </w:pPr>
            <w:r/>
            <w:r>
              <w:rPr>
                <w:sz w:val="20"/>
              </w:rPr>
              <w:t>0.550</w:t>
            </w:r>
          </w:p>
        </w:tc>
        <w:tc>
          <w:tcPr>
            <w:tcW w:type="dxa" w:w="1286"/>
          </w:tcPr>
          <w:p>
            <w:pPr>
              <w:jc w:val="right"/>
            </w:pPr>
            <w:r/>
            <w:r>
              <w:rPr>
                <w:sz w:val="20"/>
              </w:rPr>
              <w:t>0.614</w:t>
            </w:r>
          </w:p>
        </w:tc>
        <w:tc>
          <w:tcPr>
            <w:tcW w:type="dxa" w:w="1286"/>
          </w:tcPr>
          <w:p>
            <w:pPr>
              <w:jc w:val="right"/>
            </w:pPr>
            <w:r/>
            <w:r>
              <w:rPr>
                <w:sz w:val="20"/>
              </w:rPr>
              <w:t>0.580</w:t>
            </w:r>
          </w:p>
        </w:tc>
        <w:tc>
          <w:tcPr>
            <w:tcW w:type="dxa" w:w="1286"/>
          </w:tcPr>
          <w:p>
            <w:pPr>
              <w:jc w:val="right"/>
            </w:pPr>
            <w:r/>
            <w:r>
              <w:rPr>
                <w:sz w:val="20"/>
              </w:rPr>
              <w:t>0.521</w:t>
            </w:r>
          </w:p>
        </w:tc>
      </w:tr>
      <w:tr>
        <w:tc>
          <w:tcPr>
            <w:tcW w:type="dxa" w:w="1286"/>
          </w:tcPr>
          <w:p>
            <w:pPr>
              <w:jc w:val="left"/>
            </w:pPr>
            <w:r/>
            <w:r>
              <w:rPr>
                <w:sz w:val="20"/>
              </w:rPr>
              <w:t>E</w:t>
            </w:r>
          </w:p>
        </w:tc>
        <w:tc>
          <w:tcPr>
            <w:tcW w:type="dxa" w:w="1286"/>
          </w:tcPr>
          <w:p>
            <w:pPr>
              <w:jc w:val="left"/>
            </w:pPr>
            <w:r/>
            <w:r>
              <w:rPr>
                <w:sz w:val="20"/>
              </w:rPr>
              <w:t>Logistic Regression</w:t>
            </w:r>
          </w:p>
        </w:tc>
        <w:tc>
          <w:tcPr>
            <w:tcW w:type="dxa" w:w="1286"/>
          </w:tcPr>
          <w:p>
            <w:pPr>
              <w:jc w:val="right"/>
            </w:pPr>
            <w:r/>
            <w:r>
              <w:rPr>
                <w:sz w:val="20"/>
              </w:rPr>
              <w:t>0.570</w:t>
            </w:r>
          </w:p>
        </w:tc>
        <w:tc>
          <w:tcPr>
            <w:tcW w:type="dxa" w:w="1286"/>
          </w:tcPr>
          <w:p>
            <w:pPr>
              <w:jc w:val="right"/>
            </w:pPr>
            <w:r/>
            <w:r>
              <w:rPr>
                <w:sz w:val="20"/>
              </w:rPr>
              <w:t>0.586</w:t>
            </w:r>
          </w:p>
        </w:tc>
        <w:tc>
          <w:tcPr>
            <w:tcW w:type="dxa" w:w="1286"/>
          </w:tcPr>
          <w:p>
            <w:pPr>
              <w:jc w:val="right"/>
            </w:pPr>
            <w:r/>
            <w:r>
              <w:rPr>
                <w:sz w:val="20"/>
              </w:rPr>
              <w:t>0.660</w:t>
            </w:r>
          </w:p>
        </w:tc>
        <w:tc>
          <w:tcPr>
            <w:tcW w:type="dxa" w:w="1286"/>
          </w:tcPr>
          <w:p>
            <w:pPr>
              <w:jc w:val="right"/>
            </w:pPr>
            <w:r/>
            <w:r>
              <w:rPr>
                <w:sz w:val="20"/>
              </w:rPr>
              <w:t>0.621</w:t>
            </w:r>
          </w:p>
        </w:tc>
        <w:tc>
          <w:tcPr>
            <w:tcW w:type="dxa" w:w="1286"/>
          </w:tcPr>
          <w:p>
            <w:pPr>
              <w:jc w:val="right"/>
            </w:pPr>
            <w:r/>
            <w:r>
              <w:rPr>
                <w:sz w:val="20"/>
              </w:rPr>
              <w:t>0.621</w:t>
            </w:r>
          </w:p>
        </w:tc>
      </w:tr>
      <w:tr>
        <w:tc>
          <w:tcPr>
            <w:tcW w:type="dxa" w:w="1286"/>
          </w:tcPr>
          <w:p>
            <w:pPr>
              <w:jc w:val="left"/>
            </w:pPr>
            <w:r/>
            <w:r>
              <w:rPr>
                <w:sz w:val="20"/>
              </w:rPr>
              <w:t>E</w:t>
            </w:r>
          </w:p>
        </w:tc>
        <w:tc>
          <w:tcPr>
            <w:tcW w:type="dxa" w:w="1286"/>
          </w:tcPr>
          <w:p>
            <w:pPr>
              <w:jc w:val="left"/>
            </w:pPr>
            <w:r/>
            <w:r>
              <w:rPr>
                <w:sz w:val="20"/>
              </w:rPr>
              <w:t>XGBoost</w:t>
            </w:r>
          </w:p>
        </w:tc>
        <w:tc>
          <w:tcPr>
            <w:tcW w:type="dxa" w:w="1286"/>
          </w:tcPr>
          <w:p>
            <w:pPr>
              <w:jc w:val="right"/>
            </w:pPr>
            <w:r/>
            <w:r>
              <w:rPr>
                <w:sz w:val="20"/>
              </w:rPr>
              <w:t>0.629</w:t>
            </w:r>
          </w:p>
        </w:tc>
        <w:tc>
          <w:tcPr>
            <w:tcW w:type="dxa" w:w="1286"/>
          </w:tcPr>
          <w:p>
            <w:pPr>
              <w:jc w:val="right"/>
            </w:pPr>
            <w:r/>
            <w:r>
              <w:rPr>
                <w:sz w:val="20"/>
              </w:rPr>
              <w:t>0.644</w:t>
            </w:r>
          </w:p>
        </w:tc>
        <w:tc>
          <w:tcPr>
            <w:tcW w:type="dxa" w:w="1286"/>
          </w:tcPr>
          <w:p>
            <w:pPr>
              <w:jc w:val="right"/>
            </w:pPr>
            <w:r/>
            <w:r>
              <w:rPr>
                <w:sz w:val="20"/>
              </w:rPr>
              <w:t>0.677</w:t>
            </w:r>
          </w:p>
        </w:tc>
        <w:tc>
          <w:tcPr>
            <w:tcW w:type="dxa" w:w="1286"/>
          </w:tcPr>
          <w:p>
            <w:pPr>
              <w:jc w:val="right"/>
            </w:pPr>
            <w:r/>
            <w:r>
              <w:rPr>
                <w:sz w:val="20"/>
              </w:rPr>
              <w:t>0.660</w:t>
            </w:r>
          </w:p>
        </w:tc>
        <w:tc>
          <w:tcPr>
            <w:tcW w:type="dxa" w:w="1286"/>
          </w:tcPr>
          <w:p>
            <w:pPr>
              <w:jc w:val="right"/>
            </w:pPr>
            <w:r/>
            <w:r>
              <w:rPr>
                <w:sz w:val="20"/>
              </w:rPr>
              <w:t>0.682</w:t>
            </w:r>
          </w:p>
        </w:tc>
      </w:tr>
      <w:tr>
        <w:tc>
          <w:tcPr>
            <w:tcW w:type="dxa" w:w="1286"/>
          </w:tcPr>
          <w:p>
            <w:pPr>
              <w:jc w:val="left"/>
            </w:pPr>
            <w:r/>
            <w:r>
              <w:rPr>
                <w:sz w:val="20"/>
              </w:rPr>
              <w:t>F</w:t>
            </w:r>
          </w:p>
        </w:tc>
        <w:tc>
          <w:tcPr>
            <w:tcW w:type="dxa" w:w="1286"/>
          </w:tcPr>
          <w:p>
            <w:pPr>
              <w:jc w:val="left"/>
            </w:pPr>
            <w:r/>
            <w:r>
              <w:rPr>
                <w:sz w:val="20"/>
              </w:rPr>
              <w:t>Logistic Regression</w:t>
            </w:r>
          </w:p>
        </w:tc>
        <w:tc>
          <w:tcPr>
            <w:tcW w:type="dxa" w:w="1286"/>
          </w:tcPr>
          <w:p>
            <w:pPr>
              <w:jc w:val="right"/>
            </w:pPr>
            <w:r/>
            <w:r>
              <w:rPr>
                <w:sz w:val="20"/>
              </w:rPr>
              <w:t>0.569</w:t>
            </w:r>
          </w:p>
        </w:tc>
        <w:tc>
          <w:tcPr>
            <w:tcW w:type="dxa" w:w="1286"/>
          </w:tcPr>
          <w:p>
            <w:pPr>
              <w:jc w:val="right"/>
            </w:pPr>
            <w:r/>
            <w:r>
              <w:rPr>
                <w:sz w:val="20"/>
              </w:rPr>
              <w:t>0.577</w:t>
            </w:r>
          </w:p>
        </w:tc>
        <w:tc>
          <w:tcPr>
            <w:tcW w:type="dxa" w:w="1286"/>
          </w:tcPr>
          <w:p>
            <w:pPr>
              <w:jc w:val="right"/>
            </w:pPr>
            <w:r/>
            <w:r>
              <w:rPr>
                <w:sz w:val="20"/>
              </w:rPr>
              <w:t>0.716</w:t>
            </w:r>
          </w:p>
        </w:tc>
        <w:tc>
          <w:tcPr>
            <w:tcW w:type="dxa" w:w="1286"/>
          </w:tcPr>
          <w:p>
            <w:pPr>
              <w:jc w:val="right"/>
            </w:pPr>
            <w:r/>
            <w:r>
              <w:rPr>
                <w:sz w:val="20"/>
              </w:rPr>
              <w:t>0.639</w:t>
            </w:r>
          </w:p>
        </w:tc>
        <w:tc>
          <w:tcPr>
            <w:tcW w:type="dxa" w:w="1286"/>
          </w:tcPr>
          <w:p>
            <w:pPr>
              <w:jc w:val="right"/>
            </w:pPr>
            <w:r/>
            <w:r>
              <w:rPr>
                <w:sz w:val="20"/>
              </w:rPr>
              <w:t>0.575</w:t>
            </w:r>
          </w:p>
        </w:tc>
      </w:tr>
      <w:tr>
        <w:tc>
          <w:tcPr>
            <w:tcW w:type="dxa" w:w="1286"/>
          </w:tcPr>
          <w:p>
            <w:pPr>
              <w:jc w:val="left"/>
            </w:pPr>
            <w:r/>
            <w:r>
              <w:rPr>
                <w:sz w:val="20"/>
              </w:rPr>
              <w:t>F</w:t>
            </w:r>
          </w:p>
        </w:tc>
        <w:tc>
          <w:tcPr>
            <w:tcW w:type="dxa" w:w="1286"/>
          </w:tcPr>
          <w:p>
            <w:pPr>
              <w:jc w:val="left"/>
            </w:pPr>
            <w:r/>
            <w:r>
              <w:rPr>
                <w:sz w:val="20"/>
              </w:rPr>
              <w:t>XGBoost</w:t>
            </w:r>
          </w:p>
        </w:tc>
        <w:tc>
          <w:tcPr>
            <w:tcW w:type="dxa" w:w="1286"/>
          </w:tcPr>
          <w:p>
            <w:pPr>
              <w:jc w:val="right"/>
            </w:pPr>
            <w:r/>
            <w:r>
              <w:rPr>
                <w:sz w:val="20"/>
              </w:rPr>
              <w:t>0.565</w:t>
            </w:r>
          </w:p>
        </w:tc>
        <w:tc>
          <w:tcPr>
            <w:tcW w:type="dxa" w:w="1286"/>
          </w:tcPr>
          <w:p>
            <w:pPr>
              <w:jc w:val="right"/>
            </w:pPr>
            <w:r/>
            <w:r>
              <w:rPr>
                <w:sz w:val="20"/>
              </w:rPr>
              <w:t>0.586</w:t>
            </w:r>
          </w:p>
        </w:tc>
        <w:tc>
          <w:tcPr>
            <w:tcW w:type="dxa" w:w="1286"/>
          </w:tcPr>
          <w:p>
            <w:pPr>
              <w:jc w:val="right"/>
            </w:pPr>
            <w:r/>
            <w:r>
              <w:rPr>
                <w:sz w:val="20"/>
              </w:rPr>
              <w:t>0.626</w:t>
            </w:r>
          </w:p>
        </w:tc>
        <w:tc>
          <w:tcPr>
            <w:tcW w:type="dxa" w:w="1286"/>
          </w:tcPr>
          <w:p>
            <w:pPr>
              <w:jc w:val="right"/>
            </w:pPr>
            <w:r/>
            <w:r>
              <w:rPr>
                <w:sz w:val="20"/>
              </w:rPr>
              <w:t>0.605</w:t>
            </w:r>
          </w:p>
        </w:tc>
        <w:tc>
          <w:tcPr>
            <w:tcW w:type="dxa" w:w="1286"/>
          </w:tcPr>
          <w:p>
            <w:pPr>
              <w:jc w:val="right"/>
            </w:pPr>
            <w:r/>
            <w:r>
              <w:rPr>
                <w:sz w:val="20"/>
              </w:rPr>
              <w:t>0.603</w:t>
            </w:r>
          </w:p>
        </w:tc>
      </w:tr>
    </w:tbl>
    <w:p>
      <w:pPr>
        <w:spacing w:after="120"/>
      </w:pPr>
    </w:p>
    <w:p>
      <w:pPr>
        <w:spacing w:line="360" w:lineRule="auto" w:after="200"/>
        <w:jc w:val="both"/>
      </w:pPr>
      <w:r>
        <w:t>XGBoost stays ahead on ROC-AUC throughout, but the margin is modest. Changing the label and feature schemes moved performance further than changing the model did.</w:t>
      </w:r>
    </w:p>
    <w:p>
      <w:pPr>
        <w:pStyle w:val="Heading2"/>
      </w:pPr>
      <w:r>
        <w:t>4.4 Effect of Labeling and Standardization</w:t>
      </w:r>
    </w:p>
    <w:p>
      <w:pPr>
        <w:spacing w:line="360" w:lineRule="auto" w:after="200"/>
        <w:jc w:val="both"/>
      </w:pPr>
      <w:r>
        <w:t>Switching from the absolute threshold to the within-participant label improved both models. Logistic Regression rose from 0.479 ROC-AUC in Config A to 0.565 in Config D, and XGBoost from 0.530 to 0.628.</w:t>
      </w:r>
    </w:p>
    <w:p>
      <w:pPr>
        <w:spacing w:line="360" w:lineRule="auto" w:after="200"/>
        <w:jc w:val="both"/>
      </w:pPr>
      <w:r>
        <w:t>Combining within-participant labeling with within-participant feature standardization produced the strongest performance of all. Config E lifted Logistic Regression to 0.621 ROC-AUC and XGBoost to 0.682, which places participant-relative preprocessing at the center of what worked on this dataset.</w:t>
      </w:r>
    </w:p>
    <w:p>
      <w:pPr>
        <w:spacing w:line="360" w:lineRule="auto" w:after="200"/>
        <w:jc w:val="both"/>
      </w:pPr>
      <w:r>
        <w:t>The full factorial design also isolates the effect of removing lighting features, which lowered ROC-AUC in every matched comparison. The largest drops came under the within-participant raw-feature condition: moving from Config D to Config D_no_lux cost 0.078 ROC-AUC for Logistic Regression and 0.107 for XGBoost. Under the main analytical pipeline, moving from Config E to Config F cost 0.047 for Logistic Regression and 0.080 for XGBoost.</w:t>
      </w:r>
    </w:p>
    <w:p>
      <w:pPr>
        <w:pStyle w:val="Heading2"/>
      </w:pPr>
      <w:r>
        <w:t>4.5 Logistic Regression vs XGBoost Statistical Comparison</w:t>
      </w:r>
    </w:p>
    <w:p>
      <w:pPr>
        <w:spacing w:line="360" w:lineRule="auto" w:after="200"/>
        <w:jc w:val="both"/>
      </w:pPr>
      <w:r>
        <w:t>The Wilcoxon signed-rank tests put XGBoost consistently higher in pooled ROC-AUC, but the participant-level evidence was not always statistically significant.</w:t>
      </w:r>
    </w:p>
    <w:tbl>
      <w:tblPr>
        <w:tblStyle w:val="TableGrid"/>
        <w:tblW w:type="auto" w:w="0"/>
        <w:jc w:val="center"/>
        <w:tblLayout w:type="autofit"/>
        <w:tblLook w:firstColumn="1" w:firstRow="1" w:lastColumn="0" w:lastRow="0" w:noHBand="0" w:noVBand="1" w:val="04A0"/>
      </w:tblPr>
      <w:tblGrid>
        <w:gridCol w:w="3000"/>
        <w:gridCol w:w="3000"/>
        <w:gridCol w:w="3000"/>
      </w:tblGrid>
      <w:tr>
        <w:tc>
          <w:tcPr>
            <w:tcW w:type="dxa" w:w="3000"/>
          </w:tcPr>
          <w:p>
            <w:pPr>
              <w:jc w:val="left"/>
            </w:pPr>
            <w:r/>
            <w:r>
              <w:rPr>
                <w:b/>
                <w:sz w:val="20"/>
              </w:rPr>
              <w:t>Config</w:t>
            </w:r>
          </w:p>
        </w:tc>
        <w:tc>
          <w:tcPr>
            <w:tcW w:type="dxa" w:w="3000"/>
          </w:tcPr>
          <w:p>
            <w:pPr>
              <w:jc w:val="right"/>
            </w:pPr>
            <w:r/>
            <w:r>
              <w:rPr>
                <w:b/>
                <w:sz w:val="20"/>
              </w:rPr>
              <w:t>Mean ROC-AUC Difference, XGB - LR</w:t>
            </w:r>
          </w:p>
        </w:tc>
        <w:tc>
          <w:tcPr>
            <w:tcW w:type="dxa" w:w="3000"/>
          </w:tcPr>
          <w:p>
            <w:pPr>
              <w:jc w:val="right"/>
            </w:pPr>
            <w:r/>
            <w:r>
              <w:rPr>
                <w:b/>
                <w:sz w:val="20"/>
              </w:rPr>
              <w:t>p-value</w:t>
            </w:r>
          </w:p>
        </w:tc>
      </w:tr>
      <w:tr>
        <w:tc>
          <w:tcPr>
            <w:tcW w:type="dxa" w:w="3000"/>
          </w:tcPr>
          <w:p>
            <w:pPr>
              <w:jc w:val="left"/>
            </w:pPr>
            <w:r/>
            <w:r>
              <w:rPr>
                <w:sz w:val="20"/>
              </w:rPr>
              <w:t>A</w:t>
            </w:r>
          </w:p>
        </w:tc>
        <w:tc>
          <w:tcPr>
            <w:tcW w:type="dxa" w:w="3000"/>
          </w:tcPr>
          <w:p>
            <w:pPr>
              <w:jc w:val="right"/>
            </w:pPr>
            <w:r/>
            <w:r>
              <w:rPr>
                <w:sz w:val="20"/>
              </w:rPr>
              <w:t>0.042</w:t>
            </w:r>
          </w:p>
        </w:tc>
        <w:tc>
          <w:tcPr>
            <w:tcW w:type="dxa" w:w="3000"/>
          </w:tcPr>
          <w:p>
            <w:pPr>
              <w:jc w:val="right"/>
            </w:pPr>
            <w:r/>
            <w:r>
              <w:rPr>
                <w:sz w:val="20"/>
              </w:rPr>
              <w:t>0.223</w:t>
            </w:r>
          </w:p>
        </w:tc>
      </w:tr>
      <w:tr>
        <w:tc>
          <w:tcPr>
            <w:tcW w:type="dxa" w:w="3000"/>
          </w:tcPr>
          <w:p>
            <w:pPr>
              <w:jc w:val="left"/>
            </w:pPr>
            <w:r/>
            <w:r>
              <w:rPr>
                <w:sz w:val="20"/>
              </w:rPr>
              <w:t>B</w:t>
            </w:r>
          </w:p>
        </w:tc>
        <w:tc>
          <w:tcPr>
            <w:tcW w:type="dxa" w:w="3000"/>
          </w:tcPr>
          <w:p>
            <w:pPr>
              <w:jc w:val="right"/>
            </w:pPr>
            <w:r/>
            <w:r>
              <w:rPr>
                <w:sz w:val="20"/>
              </w:rPr>
              <w:t>0.035</w:t>
            </w:r>
          </w:p>
        </w:tc>
        <w:tc>
          <w:tcPr>
            <w:tcW w:type="dxa" w:w="3000"/>
          </w:tcPr>
          <w:p>
            <w:pPr>
              <w:jc w:val="right"/>
            </w:pPr>
            <w:r/>
            <w:r>
              <w:rPr>
                <w:sz w:val="20"/>
              </w:rPr>
              <w:t>0.360</w:t>
            </w:r>
          </w:p>
        </w:tc>
      </w:tr>
      <w:tr>
        <w:tc>
          <w:tcPr>
            <w:tcW w:type="dxa" w:w="3000"/>
          </w:tcPr>
          <w:p>
            <w:pPr>
              <w:jc w:val="left"/>
            </w:pPr>
            <w:r/>
            <w:r>
              <w:rPr>
                <w:sz w:val="20"/>
              </w:rPr>
              <w:t>C</w:t>
            </w:r>
          </w:p>
        </w:tc>
        <w:tc>
          <w:tcPr>
            <w:tcW w:type="dxa" w:w="3000"/>
          </w:tcPr>
          <w:p>
            <w:pPr>
              <w:jc w:val="right"/>
            </w:pPr>
            <w:r/>
            <w:r>
              <w:rPr>
                <w:sz w:val="20"/>
              </w:rPr>
              <w:t>0.051</w:t>
            </w:r>
          </w:p>
        </w:tc>
        <w:tc>
          <w:tcPr>
            <w:tcW w:type="dxa" w:w="3000"/>
          </w:tcPr>
          <w:p>
            <w:pPr>
              <w:jc w:val="right"/>
            </w:pPr>
            <w:r/>
            <w:r>
              <w:rPr>
                <w:sz w:val="20"/>
              </w:rPr>
              <w:t>0.075</w:t>
            </w:r>
          </w:p>
        </w:tc>
      </w:tr>
      <w:tr>
        <w:tc>
          <w:tcPr>
            <w:tcW w:type="dxa" w:w="3000"/>
          </w:tcPr>
          <w:p>
            <w:pPr>
              <w:jc w:val="left"/>
            </w:pPr>
            <w:r/>
            <w:r>
              <w:rPr>
                <w:sz w:val="20"/>
              </w:rPr>
              <w:t>C_no_lux</w:t>
            </w:r>
          </w:p>
        </w:tc>
        <w:tc>
          <w:tcPr>
            <w:tcW w:type="dxa" w:w="3000"/>
          </w:tcPr>
          <w:p>
            <w:pPr>
              <w:jc w:val="right"/>
            </w:pPr>
            <w:r/>
            <w:r>
              <w:rPr>
                <w:sz w:val="20"/>
              </w:rPr>
              <w:t>-0.005</w:t>
            </w:r>
          </w:p>
        </w:tc>
        <w:tc>
          <w:tcPr>
            <w:tcW w:type="dxa" w:w="3000"/>
          </w:tcPr>
          <w:p>
            <w:pPr>
              <w:jc w:val="right"/>
            </w:pPr>
            <w:r/>
            <w:r>
              <w:rPr>
                <w:sz w:val="20"/>
              </w:rPr>
              <w:t>0.777</w:t>
            </w:r>
          </w:p>
        </w:tc>
      </w:tr>
      <w:tr>
        <w:tc>
          <w:tcPr>
            <w:tcW w:type="dxa" w:w="3000"/>
          </w:tcPr>
          <w:p>
            <w:pPr>
              <w:jc w:val="left"/>
            </w:pPr>
            <w:r/>
            <w:r>
              <w:rPr>
                <w:sz w:val="20"/>
              </w:rPr>
              <w:t>D</w:t>
            </w:r>
          </w:p>
        </w:tc>
        <w:tc>
          <w:tcPr>
            <w:tcW w:type="dxa" w:w="3000"/>
          </w:tcPr>
          <w:p>
            <w:pPr>
              <w:jc w:val="right"/>
            </w:pPr>
            <w:r/>
            <w:r>
              <w:rPr>
                <w:sz w:val="20"/>
              </w:rPr>
              <w:t>0.032</w:t>
            </w:r>
          </w:p>
        </w:tc>
        <w:tc>
          <w:tcPr>
            <w:tcW w:type="dxa" w:w="3000"/>
          </w:tcPr>
          <w:p>
            <w:pPr>
              <w:jc w:val="right"/>
            </w:pPr>
            <w:r/>
            <w:r>
              <w:rPr>
                <w:sz w:val="20"/>
              </w:rPr>
              <w:t>0.465</w:t>
            </w:r>
          </w:p>
        </w:tc>
      </w:tr>
      <w:tr>
        <w:tc>
          <w:tcPr>
            <w:tcW w:type="dxa" w:w="3000"/>
          </w:tcPr>
          <w:p>
            <w:pPr>
              <w:jc w:val="left"/>
            </w:pPr>
            <w:r/>
            <w:r>
              <w:rPr>
                <w:sz w:val="20"/>
              </w:rPr>
              <w:t>D_no_lux</w:t>
            </w:r>
          </w:p>
        </w:tc>
        <w:tc>
          <w:tcPr>
            <w:tcW w:type="dxa" w:w="3000"/>
          </w:tcPr>
          <w:p>
            <w:pPr>
              <w:jc w:val="right"/>
            </w:pPr>
            <w:r/>
            <w:r>
              <w:rPr>
                <w:sz w:val="20"/>
              </w:rPr>
              <w:t>0.002</w:t>
            </w:r>
          </w:p>
        </w:tc>
        <w:tc>
          <w:tcPr>
            <w:tcW w:type="dxa" w:w="3000"/>
          </w:tcPr>
          <w:p>
            <w:pPr>
              <w:jc w:val="right"/>
            </w:pPr>
            <w:r/>
            <w:r>
              <w:rPr>
                <w:sz w:val="20"/>
              </w:rPr>
              <w:t>0.808</w:t>
            </w:r>
          </w:p>
        </w:tc>
      </w:tr>
      <w:tr>
        <w:tc>
          <w:tcPr>
            <w:tcW w:type="dxa" w:w="3000"/>
          </w:tcPr>
          <w:p>
            <w:pPr>
              <w:jc w:val="left"/>
            </w:pPr>
            <w:r/>
            <w:r>
              <w:rPr>
                <w:sz w:val="20"/>
              </w:rPr>
              <w:t>E</w:t>
            </w:r>
          </w:p>
        </w:tc>
        <w:tc>
          <w:tcPr>
            <w:tcW w:type="dxa" w:w="3000"/>
          </w:tcPr>
          <w:p>
            <w:pPr>
              <w:jc w:val="right"/>
            </w:pPr>
            <w:r/>
            <w:r>
              <w:rPr>
                <w:sz w:val="20"/>
              </w:rPr>
              <w:t>0.044</w:t>
            </w:r>
          </w:p>
        </w:tc>
        <w:tc>
          <w:tcPr>
            <w:tcW w:type="dxa" w:w="3000"/>
          </w:tcPr>
          <w:p>
            <w:pPr>
              <w:jc w:val="right"/>
            </w:pPr>
            <w:r/>
            <w:r>
              <w:rPr>
                <w:sz w:val="20"/>
              </w:rPr>
              <w:t>0.181</w:t>
            </w:r>
          </w:p>
        </w:tc>
      </w:tr>
      <w:tr>
        <w:tc>
          <w:tcPr>
            <w:tcW w:type="dxa" w:w="3000"/>
          </w:tcPr>
          <w:p>
            <w:pPr>
              <w:jc w:val="left"/>
            </w:pPr>
            <w:r/>
            <w:r>
              <w:rPr>
                <w:sz w:val="20"/>
              </w:rPr>
              <w:t>F</w:t>
            </w:r>
          </w:p>
        </w:tc>
        <w:tc>
          <w:tcPr>
            <w:tcW w:type="dxa" w:w="3000"/>
          </w:tcPr>
          <w:p>
            <w:pPr>
              <w:jc w:val="right"/>
            </w:pPr>
            <w:r/>
            <w:r>
              <w:rPr>
                <w:sz w:val="20"/>
              </w:rPr>
              <w:t>0.008</w:t>
            </w:r>
          </w:p>
        </w:tc>
        <w:tc>
          <w:tcPr>
            <w:tcW w:type="dxa" w:w="3000"/>
          </w:tcPr>
          <w:p>
            <w:pPr>
              <w:jc w:val="right"/>
            </w:pPr>
            <w:r/>
            <w:r>
              <w:rPr>
                <w:sz w:val="20"/>
              </w:rPr>
              <w:t>0.877</w:t>
            </w:r>
          </w:p>
        </w:tc>
      </w:tr>
    </w:tbl>
    <w:p>
      <w:pPr>
        <w:spacing w:after="120"/>
      </w:pPr>
    </w:p>
    <w:p>
      <w:pPr>
        <w:spacing w:line="360" w:lineRule="auto" w:after="200"/>
        <w:jc w:val="both"/>
      </w:pPr>
      <w:r>
        <w:t>No configuration reached p &lt; 0.05 for the participant-level ROC-AUC difference. The defensible reading is that XGBoost achieved a higher pooled ROC-AUC in every configuration while the participant-level evidence remains too weak to claim statistically significant superiority in ROC-AUC. Config E did show a statistically significant XGBoost advantage in accuracy (p = 0.031), which on its own does not establish general model superiority across configurations.</w:t>
      </w:r>
    </w:p>
    <w:p>
      <w:pPr>
        <w:pStyle w:val="Heading2"/>
      </w:pPr>
      <w:r>
        <w:t>4.6 Feature Importance Findings</w:t>
      </w:r>
    </w:p>
    <w:p>
      <w:pPr>
        <w:spacing w:line="360" w:lineRule="auto" w:after="200"/>
        <w:jc w:val="both"/>
      </w:pPr>
      <w:r>
        <w:t>Illuminance features were highly influential in both models. Under Config E, the XGBoost SHAP analysis ranked illuminance standard deviation first and illuminance mean second, and the Logistic Regression coefficients for the same configuration put illuminance standard deviation at the top by absolute magnitude.</w:t>
      </w:r>
    </w:p>
    <w:p>
      <w:pPr>
        <w:spacing w:line="360" w:lineRule="auto" w:after="200"/>
        <w:jc w:val="both"/>
      </w:pPr>
      <w:r>
        <w:t>Illuminance is an environmental feature rather than a direct eye-movement feature, so part of the predictive signal may be coming from task context or lighting conditions. Config F, which removes the lighting features, is therefore the stricter eye-tracking-only comparison. There Logistic Regression reached 0.575 ROC-AUC and XGBoost reached 0.603.</w:t>
      </w:r>
    </w:p>
    <w:p>
      <w:pPr>
        <w:pStyle w:val="Heading2"/>
      </w:pPr>
      <w:r>
        <w:t>4.7 Discussion</w:t>
      </w:r>
    </w:p>
    <w:p>
      <w:pPr>
        <w:spacing w:line="360" w:lineRule="auto" w:after="200"/>
        <w:jc w:val="both"/>
      </w:pPr>
      <w:r>
        <w:t>XGBoost generally outperformed Logistic Regression for eye-tracking-based cognitive load detection, which answers the main research question. The improvement was modest, though, and not consistently significant across participants. XGBoost is the choice for predictive performance, while Logistic Regression remains a useful baseline for being simpler and more interpretable.</w:t>
      </w:r>
    </w:p>
    <w:p>
      <w:pPr>
        <w:spacing w:line="360" w:lineRule="auto" w:after="200"/>
        <w:jc w:val="both"/>
      </w:pPr>
      <w:r>
        <w:t>Preprocessing choices proved decisive. The strongest performance appeared only after both the cognitive load labels and the features had been expressed relative to each participant, which fits the view that individual differences weigh heavily on eye-tracking-based cognitive load detection.</w:t>
      </w:r>
    </w:p>
    <w:p>
      <w:pPr>
        <w:spacing w:line="360" w:lineRule="auto" w:after="200"/>
        <w:jc w:val="both"/>
      </w:pPr>
      <w:r>
        <w:t>The feature importance findings show why interpretation cannot be skipped. When the highest-ranked features are lighting-related, the model may be reading environmental context alongside eye behavior. That does not invalidate the model, but it changes how the result should be described. Config E is the strongest analytical pipeline, and Config F is the stricter eye-tracking-only version of it.</w:t>
      </w:r>
    </w:p>
    <w:p>
      <w:pPr>
        <w:pStyle w:val="Heading1"/>
      </w:pPr>
      <w:r>
        <w:t>Chapter 5: Conclusion and Recommendations</w:t>
      </w:r>
    </w:p>
    <w:p>
      <w:pPr>
        <w:pStyle w:val="Heading2"/>
      </w:pPr>
      <w:r>
        <w:t>5.1 Summary of Findings</w:t>
      </w:r>
    </w:p>
    <w:p>
      <w:pPr>
        <w:spacing w:line="360" w:lineRule="auto" w:after="200"/>
        <w:jc w:val="both"/>
      </w:pPr>
      <w:r>
        <w:t>This study compared Logistic Regression and XGBoost for cognitive load detection using eye-tracking features from the GAZELOAD dataset, evaluating both under leave-one-participant-out validation across the completed experimental configurations.</w:t>
      </w:r>
    </w:p>
    <w:p>
      <w:pPr>
        <w:spacing w:line="360" w:lineRule="auto" w:after="200"/>
        <w:jc w:val="both"/>
      </w:pPr>
      <w:r>
        <w:t>The main findings are:</w:t>
      </w:r>
    </w:p>
    <w:p>
      <w:pPr>
        <w:pStyle w:val="ListNumber"/>
        <w:spacing w:line="360" w:lineRule="auto" w:after="120"/>
      </w:pPr>
      <w:r>
        <w:t>XGBoost achieved higher pooled ROC-AUC than Logistic Regression in all eight configurations.</w:t>
      </w:r>
    </w:p>
    <w:p>
      <w:pPr>
        <w:pStyle w:val="ListNumber"/>
        <w:spacing w:line="360" w:lineRule="auto" w:after="120"/>
      </w:pPr>
      <w:r>
        <w:t>Config E, which used within-participant labeling and within-participant feature standardization with lighting features included, produced the best performance.</w:t>
      </w:r>
    </w:p>
    <w:p>
      <w:pPr>
        <w:pStyle w:val="ListNumber"/>
        <w:spacing w:line="360" w:lineRule="auto" w:after="120"/>
      </w:pPr>
      <w:r>
        <w:t>Under Config E, Logistic Regression achieved 0.621 pooled ROC-AUC, while XGBoost achieved 0.682 pooled ROC-AUC.</w:t>
      </w:r>
    </w:p>
    <w:p>
      <w:pPr>
        <w:pStyle w:val="ListNumber"/>
        <w:spacing w:line="360" w:lineRule="auto" w:after="120"/>
      </w:pPr>
      <w:r>
        <w:t>The participant-level statistical tests showed that XGBoost's advantage was consistent in pooled ROC-AUC but not statistically significant in participant-level ROC-AUC.</w:t>
      </w:r>
    </w:p>
    <w:p>
      <w:pPr>
        <w:pStyle w:val="ListNumber"/>
        <w:spacing w:line="360" w:lineRule="auto" w:after="120"/>
      </w:pPr>
      <w:r>
        <w:t>Participant-relative preprocessing had a larger effect than the model choice.</w:t>
      </w:r>
    </w:p>
    <w:p>
      <w:pPr>
        <w:pStyle w:val="ListNumber"/>
        <w:spacing w:line="360" w:lineRule="auto" w:after="120"/>
      </w:pPr>
      <w:r>
        <w:t>Feature importance analysis showed that illuminance features contributed strongly, so lighting influence must be discussed as a limitation.</w:t>
      </w:r>
    </w:p>
    <w:p>
      <w:pPr>
        <w:pStyle w:val="Heading2"/>
      </w:pPr>
      <w:r>
        <w:t>5.2 Conclusions</w:t>
      </w:r>
    </w:p>
    <w:p>
      <w:pPr>
        <w:spacing w:line="360" w:lineRule="auto" w:after="200"/>
        <w:jc w:val="both"/>
      </w:pPr>
      <w:r>
        <w:t>On pooled ROC-AUC, XGBoost is the stronger model for this dataset. Its capacity for nonlinear relationships and feature interactions is the likely reason it outperformed Logistic Regression. The gap at the participant level was modest, however, and Logistic Regression held its value as an interpretable baseline.</w:t>
      </w:r>
    </w:p>
    <w:p>
      <w:pPr>
        <w:spacing w:line="360" w:lineRule="auto" w:after="200"/>
        <w:jc w:val="both"/>
      </w:pPr>
      <w:r>
        <w:t>Participant-relative preprocessing matters for cognitive load detection from eye-tracking features. Within-participant labeling and within-participant feature standardization both improved performance, which points to individual differences in workload ratings and eye behavior as something a study of this kind has to account for.</w:t>
      </w:r>
    </w:p>
    <w:p>
      <w:pPr>
        <w:spacing w:line="360" w:lineRule="auto" w:after="200"/>
        <w:jc w:val="both"/>
      </w:pPr>
      <w:r>
        <w:t>Feature importance analysis is also necessary for interpreting cognitive load classifiers. The strong role of illuminance features shows that high performance may partly reflect environmental or task-context signals rather than eye movement alone.</w:t>
      </w:r>
    </w:p>
    <w:p>
      <w:pPr>
        <w:pStyle w:val="Heading2"/>
      </w:pPr>
      <w:r>
        <w:t>5.3 Recommendations</w:t>
      </w:r>
    </w:p>
    <w:p>
      <w:pPr>
        <w:spacing w:line="360" w:lineRule="auto" w:after="200"/>
        <w:jc w:val="both"/>
      </w:pPr>
      <w:r>
        <w:t>Future studies should test these findings against larger participant samples and additional task conditions. Artifact filtering deserves attention as well, especially for implausible saccade and gaze-vector values. Participant 07, whom the project documentation identifies as having poor gaze validity, should be handled in a pre-registered data quality analysis.</w:t>
      </w:r>
    </w:p>
    <w:p>
      <w:pPr>
        <w:spacing w:line="360" w:lineRule="auto" w:after="200"/>
        <w:jc w:val="both"/>
      </w:pPr>
      <w:r>
        <w:t>Further experiments should compare epoch durations of 10, 30, and 60 seconds to see whether the temporal aggregation window affects performance. Epoch duration belongs to a separate experimental dimension, though, and should not be folded into the same Config E result.</w:t>
      </w:r>
    </w:p>
    <w:p>
      <w:pPr>
        <w:spacing w:line="360" w:lineRule="auto" w:after="200"/>
        <w:jc w:val="both"/>
      </w:pPr>
      <w:r>
        <w:t>Deployment-oriented work will need an explicit calibration procedure for computing participant-specific feature baselines. The model in this thesis is analytical, so within-participant standardization is acceptable as long as the limitation is stated clearly.</w:t>
      </w:r>
    </w:p>
    <w:p>
      <w:pPr>
        <w:pStyle w:val="Heading2"/>
      </w:pPr>
      <w:r>
        <w:t>5.4 Final Statement</w:t>
      </w:r>
    </w:p>
    <w:p>
      <w:pPr>
        <w:spacing w:line="360" w:lineRule="auto" w:after="200"/>
        <w:jc w:val="both"/>
      </w:pPr>
      <w:r>
        <w:t>XGBoost gives better pooled predictive performance than Logistic Regression for eye-tracking-based cognitive load detection on the GAZELOAD dataset, especially under participant-relative preprocessing. Model choice is only one part of the problem, though. Label definition, feature standardization, lighting-feature inclusion, validation design, and feature interpretation carry equal weight in producing defensible conclusions.</w:t>
      </w:r>
    </w:p>
    <w:p>
      <w:pPr>
        <w:pStyle w:val="Heading1"/>
      </w:pPr>
      <w:r>
        <w:t>Preliminary IEEE-Style References</w:t>
      </w:r>
    </w:p>
    <w:p>
      <w:pPr>
        <w:spacing w:after="240" w:line="240" w:lineRule="auto"/>
        <w:ind w:left="576" w:right="576"/>
      </w:pPr>
      <w:r>
        <w:rPr>
          <w:i/>
          <w:color w:val="444444"/>
        </w:rPr>
        <w:t>These entries need final formatting against the exact sources used by the adviser-approved RRL. Entries marked "metadata to verify" need final lookup before submission.</w:t>
      </w:r>
    </w:p>
    <w:p>
      <w:pPr>
        <w:spacing w:line="360" w:lineRule="auto" w:after="160"/>
      </w:pPr>
      <w:r>
        <w:t>[1] D. Kahneman, Attention and Effort. Englewood Cliffs, NJ, USA: Prentice-Hall, 1973.</w:t>
      </w:r>
    </w:p>
    <w:p>
      <w:pPr>
        <w:spacing w:line="360" w:lineRule="auto" w:after="160"/>
      </w:pPr>
      <w:r>
        <w:t>[2] F. G. W. C. Paas and J. J. G. van Merrienboer, "Cognitive-load theory: Methods to manage working memory load in the learning of complex tasks," Current Directions in Psychological Science, vol. 29, no. 4, pp. 394-398, 2020.</w:t>
      </w:r>
    </w:p>
    <w:p>
      <w:pPr>
        <w:spacing w:line="360" w:lineRule="auto" w:after="160"/>
      </w:pPr>
      <w:r>
        <w:t>[3] R. Parasuraman and D. H. Manzey, "Complacency and bias in human use of automation," Human Factors, vol. 52, no. 3, pp. 381-410, 2010.</w:t>
      </w:r>
    </w:p>
    <w:p>
      <w:pPr>
        <w:spacing w:line="360" w:lineRule="auto" w:after="160"/>
      </w:pPr>
      <w:r>
        <w:t>[4] A. T. Duchowski, Eye Tracking Methodology: Theory and Practice, 3rd ed. Cham, Switzerland: Springer, 2017, doi: 10.1007/978-3-319-57883-5.</w:t>
      </w:r>
    </w:p>
    <w:p>
      <w:pPr>
        <w:spacing w:line="360" w:lineRule="auto" w:after="160"/>
      </w:pPr>
      <w:r>
        <w:t>[5] C. M. Bishop, Pattern Recognition and Machine Learning. New York, NY, USA: Springer, 2006.</w:t>
      </w:r>
    </w:p>
    <w:p>
      <w:pPr>
        <w:spacing w:line="360" w:lineRule="auto" w:after="160"/>
      </w:pPr>
      <w:r>
        <w:t>[6] T. Chen and C. Guestrin, "XGBoost: A scalable tree boosting system," in Proc. 22nd ACM SIGKDD Int. Conf. Knowledge Discovery and Data Mining, 2016, pp. 785-794.</w:t>
      </w:r>
    </w:p>
    <w:p>
      <w:pPr>
        <w:spacing w:line="360" w:lineRule="auto" w:after="160"/>
      </w:pPr>
      <w:r>
        <w:t>[7] S. M. Lundberg and S.-I. Lee, "A unified approach to interpreting model predictions," in Advances in Neural Information Processing Systems, vol. 30, 2017.</w:t>
      </w:r>
    </w:p>
    <w:p>
      <w:pPr>
        <w:spacing w:line="360" w:lineRule="auto" w:after="160"/>
      </w:pPr>
      <w:r>
        <w:t>[8] B. Karbouj, B. E. Gaaloul, and J. Kruger, "GAZELOAD: A multimodal eye-tracking dataset for mental workload in industrial human-robot collaboration," arXiv preprint, arXiv:2601.21829, Jan. 2026. Metadata to verify.</w:t>
      </w:r>
    </w:p>
    <w:p>
      <w:pPr>
        <w:spacing w:line="360" w:lineRule="auto" w:after="160"/>
      </w:pPr>
      <w:r>
        <w:t>[9] A. C. Marinescu, S. Sharples, A. C. Ritchie, T. S. Lopez, A. McDowell, H. Morvan, and L. M. Naismith, "Exploring the relationship between mental workload, variation in performance, and physiological parameters," Human Factors, 2018. Metadata to verify. Available: https://pubmed.ncbi.nlm.nih.gov/28965433/</w:t>
      </w:r>
    </w:p>
    <w:p>
      <w:pPr>
        <w:spacing w:line="360" w:lineRule="auto" w:after="160"/>
      </w:pPr>
      <w:r>
        <w:t>[10] I. Albuquerque, J. Monteiro, O. Rosanne, and T. H. Falk, "Estimating distribution shifts for predicting cross-subject generalization in electroencephalography-based mental workload assessment," Frontiers in Artificial Intelligence, vol. 5, Oct. 2022, doi: 10.3389/frai.2022.992732.</w:t>
      </w:r>
    </w:p>
    <w:p>
      <w:pPr>
        <w:spacing w:line="360" w:lineRule="auto" w:after="160"/>
      </w:pPr>
      <w:r>
        <w:t>[11] S. Gado, K. Lingelbach, M. Wirzberger, and M. Vukelić, "Decoding Mental Effort in a Quasi-Realistic Scenario: A Feasibility Study on Multimodal Data Fusion and Classification," Sensors, vol. 23, no. 14, p. 6546, July 2023, doi: 10.3390/s23146546.</w:t>
      </w:r>
    </w:p>
    <w:p>
      <w:pPr>
        <w:spacing w:line="360" w:lineRule="auto" w:after="160"/>
      </w:pPr>
      <w:r>
        <w:t>[12] M. Kaczorowska, M. Plechawska-Wojcik, and M. Tokovarov, "Interpretable machine learning models for three-way classification of cognitive workload levels for eye-tracking features," Brain Sciences, vol. 11, no. 2, p. 210, Feb. 2021, doi: 10.3390/brainsci11020210.</w:t>
      </w:r>
    </w:p>
    <w:p>
      <w:pPr>
        <w:spacing w:line="360" w:lineRule="auto" w:after="160"/>
      </w:pPr>
      <w:r>
        <w:t>[13] M. Kaczorowska, P. Karczmarek, M. Plechawska-Wojcik, and M. Tokovarov, "On the improvement of eye tracking-based cognitive workload estimation using aggregation functions," Sensors, vol. 21, no. 13, p. 4542, July 2021, doi: 10.3390/s21134542.</w:t>
      </w:r>
    </w:p>
    <w:p>
      <w:pPr>
        <w:spacing w:line="360" w:lineRule="auto" w:after="160"/>
      </w:pPr>
      <w:r>
        <w:t>[14] T. Fawcett, "An introduction to ROC analysis," Pattern Recognition Letters, vol. 27, no. 8, pp. 861-874, June 2006, doi: 10.1016/j.patrec.2005.10.010.</w:t>
      </w:r>
    </w:p>
    <w:p>
      <w:pPr>
        <w:spacing w:line="360" w:lineRule="auto" w:after="160"/>
      </w:pPr>
      <w:r>
        <w:t>[15] J. Demsar, "Statistical comparisons of classifiers over multiple data sets," Journal of Machine Learning Research, vol. 7, pp. 1-30, 2006.</w:t>
      </w:r>
    </w:p>
    <w:p>
      <w:pPr>
        <w:spacing w:line="360" w:lineRule="auto" w:after="160"/>
      </w:pPr>
      <w:r>
        <w:t>[16] S. G. Hart and L. E. Staveland, "Development of NASA-TLX (Task Load Index): Results of empirical and theoretical research," in Human Mental Workload, P. A. Hancock and N. Meshkati, Eds. Amsterdam, The Netherlands: North-Holland, 1988, pp. 139-183, doi: 10.1016/S0166-4115(08)62386-9.</w:t>
      </w:r>
    </w:p>
    <w:p>
      <w:pPr>
        <w:spacing w:line="360" w:lineRule="auto" w:after="160"/>
      </w:pPr>
      <w:r>
        <w:t>[17] E. Ktistakis, V. Skaramagkas, D. Manousos, N. S. Tachos, E. E. Tripoliti, D. I. Fotiadis, and M. Tsiknakis, "COLET: A dataset for COgnitive workLoad estimation based on eye-tracking," Computer Methods and Programs in Biomedicine, vol. 224, p. 106989, 2022, doi: 10.1016/j.cmpb.2022.106989.</w:t>
      </w:r>
    </w:p>
    <w:p>
      <w:pPr>
        <w:spacing w:line="360" w:lineRule="auto" w:after="160"/>
      </w:pPr>
      <w:r>
        <w:t>[18] L. Rizzo, M. Dondio, and L. Longo, "A machine learning approach for detecting cognitive interference based on eye-tracking data," Frontiers in Human Neuroscience, vol. 16, 2022, doi: 10.3389/fnhum.2022.806330. Metadata to verify.</w:t>
      </w:r>
    </w:p>
    <w:p>
      <w:pPr>
        <w:spacing w:line="360" w:lineRule="auto" w:after="160"/>
      </w:pPr>
      <w:r>
        <w:t>[19] M. Trigka, E. Dritsas, and P. Mylonas, "Eye-based cognitive overload prediction in human-machine interaction via machine learning," in Proc. 21st Int. Conf. Web Information Systems and Technologies (WEBIST), 2025, pp. 565-572, doi: 10.5220/0013782800003985.</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