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240"/>
        <w:jc w:val="center"/>
      </w:pPr>
      <w:r>
        <w:rPr>
          <w:b/>
          <w:sz w:val="24"/>
        </w:rPr>
        <w:t>COMPARATIVE ANALYSIS OF LOGISTIC REGRESSION AND XGBOOST FOR COGNITIVE LOAD DETECTION USING EYE TRACKING FEATURES WITH FEATURE IMPORTANCE ANALYSIS</w:t>
      </w:r>
    </w:p>
    <w:p>
      <w:pPr>
        <w:spacing w:after="0" w:before="0"/>
        <w:jc w:val="center"/>
      </w:pPr>
      <w:r>
        <w:rPr>
          <w:b w:val="0"/>
          <w:sz w:val="24"/>
        </w:rPr>
        <w:t>In Partial Fulfillment of the Requirements for the</w:t>
      </w:r>
    </w:p>
    <w:p>
      <w:pPr>
        <w:spacing w:after="1200" w:before="0"/>
        <w:jc w:val="center"/>
      </w:pPr>
      <w:r>
        <w:rPr>
          <w:b w:val="0"/>
          <w:sz w:val="24"/>
        </w:rPr>
        <w:t>Degree Bachelor of Science in Computer Science</w:t>
      </w:r>
    </w:p>
    <w:p>
      <w:pPr>
        <w:spacing w:after="960" w:before="0"/>
        <w:jc w:val="center"/>
      </w:pPr>
      <w:r>
        <w:rPr>
          <w:b w:val="0"/>
          <w:sz w:val="24"/>
        </w:rPr>
        <w:t>Submitted by:</w:t>
      </w:r>
    </w:p>
    <w:p>
      <w:pPr>
        <w:spacing w:after="240" w:before="0"/>
        <w:jc w:val="center"/>
      </w:pPr>
      <w:r>
        <w:rPr>
          <w:b/>
          <w:sz w:val="24"/>
        </w:rPr>
        <w:t>Caacbay, Miguel John C.</w:t>
      </w:r>
    </w:p>
    <w:p>
      <w:pPr>
        <w:spacing w:after="240" w:before="0"/>
        <w:jc w:val="center"/>
      </w:pPr>
      <w:r>
        <w:rPr>
          <w:b/>
          <w:sz w:val="24"/>
        </w:rPr>
        <w:t>Magkasi, Sophia Bianca J.</w:t>
      </w:r>
    </w:p>
    <w:p>
      <w:pPr>
        <w:spacing w:after="240" w:before="0"/>
        <w:jc w:val="center"/>
      </w:pPr>
      <w:r>
        <w:rPr>
          <w:b/>
          <w:sz w:val="24"/>
        </w:rPr>
        <w:t>Uaje, James Paul B.</w:t>
      </w:r>
    </w:p>
    <w:p>
      <w:pPr>
        <w:spacing w:after="240" w:before="0"/>
        <w:jc w:val="center"/>
      </w:pPr>
      <w:r>
        <w:rPr>
          <w:b/>
          <w:sz w:val="24"/>
        </w:rPr>
        <w:t>Ventura, James Christian B.</w:t>
      </w:r>
    </w:p>
    <w:p>
      <w:pPr>
        <w:spacing w:after="240" w:before="960"/>
        <w:jc w:val="center"/>
      </w:pPr>
      <w:r>
        <w:rPr>
          <w:b w:val="0"/>
          <w:sz w:val="24"/>
        </w:rPr>
        <w:t>October 2026</w:t>
      </w:r>
    </w:p>
    <w:p>
      <w:pPr>
        <w:spacing w:after="0"/>
      </w:pPr>
      <w:r>
        <w:br w:type="page"/>
      </w:r>
    </w:p>
    <w:p>
      <w:pPr>
        <w:pStyle w:val="Heading1"/>
        <w:spacing w:after="360"/>
        <w:jc w:val="center"/>
      </w:pPr>
      <w:r>
        <w:rPr>
          <w:sz w:val="28"/>
        </w:rPr>
        <w:t>CHAPTER 1</w:t>
        <w:br/>
      </w:r>
      <w:r>
        <w:rPr>
          <w:sz w:val="24"/>
        </w:rPr>
        <w:t>THE PROBLEM AND ITS BACKGROUND</w:t>
      </w:r>
    </w:p>
    <w:p>
      <w:pPr>
        <w:pStyle w:val="Heading2"/>
        <w:jc w:val="left"/>
      </w:pPr>
      <w:r>
        <w:t>PROJECT CONTEXT</w:t>
      </w:r>
    </w:p>
    <w:p>
      <w:pPr>
        <w:ind w:firstLine="720"/>
        <w:jc w:val="both"/>
      </w:pPr>
      <w:r>
        <w:rPr/>
        <w:t>Cognitive load refers to the amount of mental effort that a task demands from a person’s limited processing capacity [1], [2]. It is a central concept in ergonomics and human factors because the mental demands placed on a person are closely linked to performance and safety in complex tasks [3]. As digital systems and technology-driven environments become more demanding, monitoring cognitive load has gained importance in fields such as education, healthcare, transportation and human–computer interaction.</w:t>
      </w:r>
    </w:p>
    <w:p>
      <w:pPr>
        <w:ind w:firstLine="720"/>
        <w:jc w:val="both"/>
      </w:pPr>
      <w:r>
        <w:rPr/>
        <w:t>Traditional methods for measuring cognitive load rely mainly on subjective questionnaires such as the NASA Task Load Index (NASA-TLX) [4], or on physiological measures such as electroencephalography and cardiac activity [5]. Questionnaires are collected after a task and depend on how participants judge their own effort, and different workload measures do not always agree with each other [6]. Physiological sensors can also be intrusive and difficult to use outside the laboratory. Eye tracking offers a less intrusive alternative: a camera-based tracker records pupil size, blinks, fixations and saccades while a person works, and a systematic review of 91 studies found that several of these measures respond to changes in mental workload, with pupil diameter significant in 79% of the studies that tested it, fixation duration in 73% and blink rate in 71% [5].</w:t>
      </w:r>
    </w:p>
    <w:p>
      <w:pPr>
        <w:ind w:firstLine="720"/>
        <w:jc w:val="both"/>
      </w:pPr>
      <w:r>
        <w:rPr/>
        <w:t>Machine learning makes it possible to combine these eye-tracking measures into a model that classifies a person’s load level. Logistic Regression is a linear model whose coefficients show how each feature pushes the prediction, which makes it a common interpretable baseline [7], [8]. XGBoost is a gradient-boosted decision-tree method that can represent nonlinear relationships and interactions in tabular data [9]. Comparing the two shows whether the added flexibility of an ensemble method improves detection over a simpler model that is easier to interpret.</w:t>
      </w:r>
    </w:p>
    <w:p>
      <w:pPr>
        <w:ind w:firstLine="720"/>
        <w:jc w:val="both"/>
      </w:pPr>
      <w:r>
        <w:rPr/>
        <w:t>Existing eye-tracking studies, however, differ widely in their datasets, labels, features and validation procedures, which makes it difficult to judge how the two model families compare on the same task. Studies that compared Logistic Regression and XGBoost used different eye-tracking settings and reported different outcomes [10], [11], [12]. Many studies also tested their models on data from the same people they were trained on, which can overestimate performance for new users [13], [14]. Finally, few studies report which eye-tracking features each model relied on, and those that did usually explained only one model [15], [16].</w:t>
      </w:r>
    </w:p>
    <w:p>
      <w:pPr>
        <w:ind w:firstLine="720"/>
        <w:jc w:val="both"/>
      </w:pPr>
      <w:r>
        <w:rPr/>
        <w:t>To address these gaps, this study compares Logistic Regression and XGBoost for cognitive load detection using eye-tracking features from the publicly available COLET dataset [17]. COLET records the raw gaze, pupil and blink data of 47 participants performing visual-search tasks under four conditions that combine time pressure and a secondary counting task. The study evaluates both models on participants not seen during training and analyzes which eye-tracking features each model relied on, using the same explanation method for both models.</w:t>
      </w:r>
    </w:p>
    <w:p>
      <w:pPr>
        <w:pStyle w:val="Heading2"/>
        <w:jc w:val="left"/>
      </w:pPr>
      <w:r>
        <w:t>PURPOSE AND DESCRIPTION</w:t>
      </w:r>
    </w:p>
    <w:p>
      <w:pPr>
        <w:ind w:firstLine="720"/>
        <w:jc w:val="both"/>
      </w:pPr>
      <w:r>
        <w:rPr/>
        <w:t>This study aims to develop and evaluate a machine learning framework for detecting cognitive load from eye-tracking features. It focuses on a direct comparison between Logistic Regression and XGBoost in classifying low and high cognitive load, using features that describe pupil size, blinking, fixations, saccades and the spread of gaze.</w:t>
      </w:r>
    </w:p>
    <w:p>
      <w:pPr>
        <w:ind w:firstLine="720"/>
        <w:jc w:val="both"/>
      </w:pPr>
      <w:r>
        <w:rPr/>
        <w:t>The framework follows a structured workflow. Raw eye-tracking recordings are obtained from the COLET dataset [17]. The single-task activity without time pressure (A1) is labelled as low load and the activity combining a counting task with time pressure (A4) is labelled as high load. The recordings are cleaned following published guidelines for Pupil Core data, fixations and saccades are detected using the same settings as the COLET authors, and ten features are computed for each recording. Both models are then trained and evaluated with leave-one-participant-out validation, so that every prediction is made for a person whose data were not used in training [13].</w:t>
      </w:r>
    </w:p>
    <w:p>
      <w:pPr>
        <w:ind w:firstLine="720"/>
        <w:jc w:val="both"/>
      </w:pPr>
      <w:r>
        <w:rPr/>
        <w:t>In addition to comparing performance, the study analyzes feature importance to identify the eye-tracking indicators that each model relied on. Logistic Regression coefficients are reported, and SHAP values are computed for both models so that their rankings can be compared on the same scale [18], [19]. Permutation importance is computed as a model-agnostic check [20], [21].</w:t>
      </w:r>
    </w:p>
    <w:p>
      <w:pPr>
        <w:ind w:firstLine="720"/>
        <w:jc w:val="both"/>
      </w:pPr>
      <w:r>
        <w:rPr/>
        <w:t>The intended output is a comparative framework that shows how well each model detects cognitive load in new participants and which eye-tracking features drive their predictions. Because the counting task is spoken aloud, the study also tests a model that uses pupil features only, to check whether the results depend on effects of talking on the eyes [22].</w:t>
      </w:r>
    </w:p>
    <w:p>
      <w:pPr>
        <w:pStyle w:val="Heading2"/>
        <w:jc w:val="left"/>
      </w:pPr>
      <w:r>
        <w:t>OBJECTIVES OF THE STUDY</w:t>
      </w:r>
    </w:p>
    <w:p>
      <w:pPr>
        <w:pStyle w:val="Heading3"/>
        <w:jc w:val="left"/>
      </w:pPr>
      <w:r>
        <w:t>General Objective</w:t>
      </w:r>
    </w:p>
    <w:p>
      <w:pPr>
        <w:ind w:firstLine="720"/>
        <w:jc w:val="both"/>
      </w:pPr>
      <w:r>
        <w:rPr/>
        <w:t>The general objective of this study is to compare Logistic Regression and XGBoost for cognitive load detection using eye-tracking features, and to analyze the features that each model relies on.</w:t>
      </w:r>
    </w:p>
    <w:p>
      <w:pPr>
        <w:pStyle w:val="Heading3"/>
        <w:jc w:val="left"/>
      </w:pPr>
      <w:r>
        <w:t>Specific Objectives</w:t>
      </w:r>
    </w:p>
    <w:p>
      <w:pPr>
        <w:jc w:val="both"/>
      </w:pPr>
      <w:r>
        <w:rPr/>
        <w:t>Specifically, the study aims:</w:t>
      </w:r>
    </w:p>
    <w:p>
      <w:pPr>
        <w:tabs>
          <w:tab w:pos="1080" w:val="left"/>
        </w:tabs>
        <w:spacing w:after="120"/>
        <w:ind w:left="1080" w:hanging="360"/>
        <w:jc w:val="both"/>
      </w:pPr>
      <w:r>
        <w:rPr/>
        <w:t>1.</w:t>
        <w:tab/>
        <w:t>To prepare whole-activity eye-tracking features (pupil, blink, fixation, saccade and gaze-dispersion measures) from the COLET dataset for binary classification of low (A1) versus high (A4) cognitive load.</w:t>
      </w:r>
    </w:p>
    <w:p>
      <w:pPr>
        <w:tabs>
          <w:tab w:pos="1080" w:val="left"/>
        </w:tabs>
        <w:spacing w:after="120"/>
        <w:ind w:left="1080" w:hanging="360"/>
        <w:jc w:val="both"/>
      </w:pPr>
      <w:r>
        <w:rPr/>
        <w:t>2.</w:t>
        <w:tab/>
        <w:t>To train and evaluate Logistic Regression and XGBoost under leave-one-participant-out validation, with participant-grouped tuning and an equal tuning budget for both models.</w:t>
      </w:r>
    </w:p>
    <w:p>
      <w:pPr>
        <w:tabs>
          <w:tab w:pos="1080" w:val="left"/>
        </w:tabs>
        <w:spacing w:after="120"/>
        <w:ind w:left="1080" w:hanging="360"/>
        <w:jc w:val="both"/>
      </w:pPr>
      <w:r>
        <w:rPr/>
        <w:t>3.</w:t>
        <w:tab/>
        <w:t>To compare the performance of the two models using ROC-AUC, balanced accuracy, macro-F1, per-class recall and the Brier score, against a majority-class baseline.</w:t>
      </w:r>
    </w:p>
    <w:p>
      <w:pPr>
        <w:tabs>
          <w:tab w:pos="1080" w:val="left"/>
        </w:tabs>
        <w:spacing w:after="120"/>
        <w:ind w:left="1080" w:hanging="360"/>
        <w:jc w:val="both"/>
      </w:pPr>
      <w:r>
        <w:rPr/>
        <w:t>4.</w:t>
        <w:tab/>
        <w:t>To determine whether the comparison holds when only pupil features are used, as a check against the effects of the spoken secondary task.</w:t>
      </w:r>
    </w:p>
    <w:p>
      <w:pPr>
        <w:tabs>
          <w:tab w:pos="1080" w:val="left"/>
        </w:tabs>
        <w:spacing w:after="120"/>
        <w:ind w:left="1080" w:hanging="360"/>
        <w:jc w:val="both"/>
      </w:pPr>
      <w:r>
        <w:rPr/>
        <w:t>5.</w:t>
        <w:tab/>
        <w:t>To analyze and compare feature importance using Logistic Regression coefficients, SHAP values for both models and permutation importance, and to measure the agreement between the two models’ rankings.</w:t>
      </w:r>
    </w:p>
    <w:p>
      <w:pPr>
        <w:pStyle w:val="Heading2"/>
        <w:jc w:val="left"/>
      </w:pPr>
      <w:r>
        <w:t>SIGNIFICANCE OF THE STUDY</w:t>
      </w:r>
    </w:p>
    <w:p>
      <w:pPr>
        <w:ind w:firstLine="720"/>
        <w:jc w:val="both"/>
      </w:pPr>
      <w:r>
        <w:rPr/>
        <w:t>This study is significant to education, healthcare, safety-critical work and human–computer interaction, because it examines how well an interpretable model and an ensemble model can detect cognitive load from eye movements alone.</w:t>
      </w:r>
    </w:p>
    <w:p>
      <w:pPr>
        <w:ind w:firstLine="720"/>
        <w:jc w:val="both"/>
      </w:pPr>
      <w:r>
        <w:rPr/>
        <w:t>In education, the findings may support adaptive learning systems that detect when learners are overloaded and adjust content difficulty or pacing. This relates to Sustainable Development Goal 4 (Quality Education) [23].</w:t>
      </w:r>
    </w:p>
    <w:p>
      <w:pPr>
        <w:ind w:firstLine="720"/>
        <w:jc w:val="both"/>
      </w:pPr>
      <w:r>
        <w:rPr/>
        <w:t>In healthcare, eye-tracking indicators such as pupil size and blink rate offer a non-invasive way to monitor mental strain [5]. Understanding which indicators models rely on may support the design of workload-monitoring tools, in line with Sustainable Development Goal 3 (Good Health and Well-being) [23].</w:t>
      </w:r>
    </w:p>
    <w:p>
      <w:pPr>
        <w:ind w:firstLine="720"/>
        <w:jc w:val="both"/>
      </w:pPr>
      <w:r>
        <w:rPr/>
        <w:t>In safety-critical settings such as transportation and industrial operations, mental workload is closely tied to human performance and safety [3]. Reliable detection of high load may help systems warn operators or redistribute tasks, which relates to Sustainable Development Goals 3 and 9 (Industry, Innovation and Infrastructure) [23].</w:t>
      </w:r>
    </w:p>
    <w:p>
      <w:pPr>
        <w:ind w:firstLine="720"/>
        <w:jc w:val="both"/>
      </w:pPr>
      <w:r>
        <w:rPr/>
        <w:t>In human–computer interaction, load-aware interfaces could adapt to a user’s mental state and reduce frustration and errors. The comparison between Logistic Regression and XGBoost also adds to the understanding of when interpretable models are sufficient for behavioural data [24].</w:t>
      </w:r>
    </w:p>
    <w:p>
      <w:pPr>
        <w:ind w:firstLine="720"/>
        <w:jc w:val="both"/>
      </w:pPr>
      <w:r>
        <w:rPr/>
        <w:t>For the research community, the study offers a fully specified evaluation on a public dataset, using participant-independent validation and preprocessing fitted only on training data, practices that reduce overly optimistic results [14]. Because COLET is openly available, other researchers can reproduce and extend the analysis.</w:t>
      </w:r>
    </w:p>
    <w:p>
      <w:pPr>
        <w:pStyle w:val="Heading2"/>
        <w:jc w:val="left"/>
      </w:pPr>
      <w:r>
        <w:t>SCOPE AND LIMITATIONS</w:t>
      </w:r>
    </w:p>
    <w:p>
      <w:pPr>
        <w:ind w:firstLine="720"/>
        <w:jc w:val="both"/>
      </w:pPr>
      <w:r>
        <w:rPr/>
        <w:t>This study focuses on comparing Logistic Regression and XGBoost for cognitive load detection using eye-tracking features. It uses the publicly available COLET dataset [17], which contains raw Pupil Core recordings of 47 participants performing visual-search tasks in four activities. The analysis uses the two extreme activities: A1 (single task, no time pressure) as low load and A4 (counting backwards aloud under time pressure) as high load. After excluding recordings of insufficient quality, 45 participants and 90 recordings are analyzed, one sample per whole activity.</w:t>
      </w:r>
    </w:p>
    <w:p>
      <w:pPr>
        <w:ind w:firstLine="720"/>
        <w:jc w:val="both"/>
      </w:pPr>
      <w:r>
        <w:rPr/>
        <w:t>The scope includes data preprocessing, detection of fixations and saccades, extraction of ten eye-tracking features, per-person standardization, model training and tuning, leave-one-participant-out evaluation, and feature importance analysis. Two analyses are required: the main analysis with all ten features, and a pupil-only analysis that checks the influence of the spoken secondary task.</w:t>
      </w:r>
    </w:p>
    <w:p>
      <w:pPr>
        <w:ind w:firstLine="720"/>
        <w:jc w:val="both"/>
      </w:pPr>
      <w:r>
        <w:rPr/>
        <w:t>The study has several limitations. It uses eye-tracking data only and does not include other signals such as electroencephalography or heart rate. It is limited to Logistic Regression and XGBoost and does not cover other machine learning or deep learning models. The data come from a laboratory task with a chin rest and a screen, so the findings may not transfer directly to real-world settings [25]. The sample of 45 participants is small, which widens the uncertainty of the results [26].</w:t>
      </w:r>
    </w:p>
    <w:p>
      <w:pPr>
        <w:ind w:firstLine="720"/>
        <w:jc w:val="both"/>
      </w:pPr>
      <w:r>
        <w:rPr/>
        <w:t>The high-load activity requires participants to count aloud, and talking is known to affect blinking and eye-tracking quality [22]. The study does not statistically separate talking from workload; instead, it reports a pupil-only model as a robustness check. Even this model is not fully independent of talking, because the tracker re-fitted its pupil model more often in the counting activities. Per-person standardization uses each participant’s own unlabelled recordings, which makes the test somewhat easier than meeting a complete stranger; a deployed system would therefore need a calibration session [14].</w:t>
      </w:r>
    </w:p>
    <w:p>
      <w:pPr>
        <w:ind w:firstLine="720"/>
        <w:jc w:val="both"/>
      </w:pPr>
      <w:r>
        <w:rPr/>
        <w:t>Finally, the study is an offline, analytical comparison. Real-time detection, live eye-tracking implementation, hardware deployment and testing on other datasets are beyond its scope. Self-reported workload is used only to confirm that the conditions differed, not as the classification target.</w:t>
      </w:r>
    </w:p>
    <w:p>
      <w:pPr>
        <w:pStyle w:val="Heading2"/>
        <w:jc w:val="left"/>
      </w:pPr>
      <w:r>
        <w:t>CONCEPTUAL FRAMEWORK</w:t>
      </w:r>
    </w:p>
    <w:p>
      <w:pPr>
        <w:ind w:firstLine="720"/>
        <w:jc w:val="both"/>
      </w:pPr>
      <w:r>
        <w:rPr/>
        <w:t>The conceptual framework follows an input–process–output structure (Figure 1). The input consists of the raw gaze, pupil and blink recordings of the COLET dataset together with the condition labels, A1 as low load and A4 as high load [17].</w:t>
      </w:r>
    </w:p>
    <w:p>
      <w:pPr>
        <w:ind w:firstLine="720"/>
        <w:jc w:val="both"/>
      </w:pPr>
      <w:r>
        <w:rPr/>
        <w:t>The process begins with preprocessing: invalid samples and low-quality recordings are removed, and each signal is cleaned following published guidelines for pupil and Pupil Core data [27], [28]. Fixations and saccades are then detected with a velocity-threshold algorithm [29], and ten features are computed per recording. Each feature is standardized within each participant to remove stable individual differences in eye behaviour [30]. The resulting features are given as common inputs to Logistic Regression and XGBoost, which are trained and evaluated with leave-one-participant-out validation and an equal tuning budget [31].</w:t>
      </w:r>
    </w:p>
    <w:p>
      <w:pPr>
        <w:ind w:firstLine="720"/>
        <w:jc w:val="both"/>
      </w:pPr>
      <w:r>
        <w:rPr/>
        <w:t>The framework produces two outputs. The first is the comparative performance of the two models on held-out participants. The second is the set of feature importance rankings, obtained from Logistic Regression coefficients, SHAP values for both models and permutation importance [19], [21]. Together, these outputs show how effective and how interpretable each approach is for detecting cognitive load from eye-tracking features.</w:t>
      </w:r>
    </w:p>
    <w:p>
      <w:pPr>
        <w:keepNext/>
        <w:spacing w:after="120"/>
        <w:jc w:val="center"/>
      </w:pPr>
      <w:r>
        <w:drawing>
          <wp:inline xmlns:a="http://schemas.openxmlformats.org/drawingml/2006/main" xmlns:pic="http://schemas.openxmlformats.org/drawingml/2006/picture">
            <wp:extent cx="5760720" cy="358487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720" cy="3584874"/>
                    </a:xfrm>
                    <a:prstGeom prst="rect"/>
                  </pic:spPr>
                </pic:pic>
              </a:graphicData>
            </a:graphic>
          </wp:inline>
        </w:drawing>
      </w:r>
    </w:p>
    <w:p>
      <w:pPr>
        <w:keepNext w:val="0"/>
        <w:spacing w:after="240"/>
        <w:jc w:val="center"/>
      </w:pPr>
      <w:r>
        <w:rPr>
          <w:b/>
        </w:rPr>
        <w:t xml:space="preserve">Figure 1. </w:t>
      </w:r>
      <w:r>
        <w:rPr/>
        <w:t>Conceptual framework of the study.</w:t>
      </w:r>
    </w:p>
    <w:p>
      <w:pPr>
        <w:pStyle w:val="Heading2"/>
        <w:jc w:val="left"/>
      </w:pPr>
      <w:r>
        <w:t>OPERATIONAL DEFINITION OF TERMS</w:t>
      </w:r>
    </w:p>
    <w:p>
      <w:pPr>
        <w:jc w:val="both"/>
      </w:pPr>
      <w:r>
        <w:rPr>
          <w:b/>
        </w:rPr>
        <w:t xml:space="preserve">Balanced Accuracy – </w:t>
      </w:r>
      <w:r>
        <w:rPr/>
        <w:t>The average of the recall obtained for each class. In this study it is reported alongside ROC-AUC to summarize correct classification of both load levels.</w:t>
      </w:r>
    </w:p>
    <w:p>
      <w:pPr>
        <w:jc w:val="both"/>
      </w:pPr>
      <w:r>
        <w:rPr>
          <w:b/>
        </w:rPr>
        <w:t xml:space="preserve">Binary Classification – </w:t>
      </w:r>
      <w:r>
        <w:rPr/>
        <w:t>A task in which each observation is assigned to one of two classes. In this study, each recording is classified as low (A1) or high (A4) cognitive load.</w:t>
      </w:r>
    </w:p>
    <w:p>
      <w:pPr>
        <w:jc w:val="both"/>
      </w:pPr>
      <w:r>
        <w:rPr>
          <w:b/>
        </w:rPr>
        <w:t xml:space="preserve">Blink Rate – </w:t>
      </w:r>
      <w:r>
        <w:rPr/>
        <w:t>The number of blinks per minute of valid recording time. In this study it is one of the ten input features.</w:t>
      </w:r>
    </w:p>
    <w:p>
      <w:pPr>
        <w:jc w:val="both"/>
      </w:pPr>
      <w:r>
        <w:rPr>
          <w:b/>
        </w:rPr>
        <w:t xml:space="preserve">Brier Score – </w:t>
      </w:r>
      <w:r>
        <w:rPr/>
        <w:t>The mean squared difference between predicted probabilities and actual outcomes. In this study it measures how well calibrated each model’s probabilities are.</w:t>
      </w:r>
    </w:p>
    <w:p>
      <w:pPr>
        <w:jc w:val="both"/>
      </w:pPr>
      <w:r>
        <w:rPr>
          <w:b/>
        </w:rPr>
        <w:t xml:space="preserve">Cognitive Load – </w:t>
      </w:r>
      <w:r>
        <w:rPr/>
        <w:t>The mental effort required to perform a task. In this study it is defined by the COLET activity: A1 as low load and A4 as high load.</w:t>
      </w:r>
    </w:p>
    <w:p>
      <w:pPr>
        <w:jc w:val="both"/>
      </w:pPr>
      <w:r>
        <w:rPr>
          <w:b/>
        </w:rPr>
        <w:t xml:space="preserve">COLET Dataset – </w:t>
      </w:r>
      <w:r>
        <w:rPr/>
        <w:t>A publicly available dataset of raw eye-tracking recordings from 47 participants performing visual-search tasks under four workload conditions. In this study it is the sole source of data.</w:t>
      </w:r>
    </w:p>
    <w:p>
      <w:pPr>
        <w:jc w:val="both"/>
      </w:pPr>
      <w:r>
        <w:rPr>
          <w:b/>
        </w:rPr>
        <w:t xml:space="preserve">Elastic Net – </w:t>
      </w:r>
      <w:r>
        <w:rPr/>
        <w:t>A penalty for regression models that combines L1 and L2 regularization. In this study it is used to keep Logistic Regression coefficients stable with a small sample.</w:t>
      </w:r>
    </w:p>
    <w:p>
      <w:pPr>
        <w:jc w:val="both"/>
      </w:pPr>
      <w:r>
        <w:rPr>
          <w:b/>
        </w:rPr>
        <w:t xml:space="preserve">Eye Tracking – </w:t>
      </w:r>
      <w:r>
        <w:rPr/>
        <w:t>The measurement of where and how the eyes move, and of pupil size, using a camera-based tracker. In this study the data were recorded with a Pupil Labs Pupil Core tracker.</w:t>
      </w:r>
    </w:p>
    <w:p>
      <w:pPr>
        <w:jc w:val="both"/>
      </w:pPr>
      <w:r>
        <w:rPr>
          <w:b/>
        </w:rPr>
        <w:t xml:space="preserve">Feature Importance Analysis – </w:t>
      </w:r>
      <w:r>
        <w:rPr/>
        <w:t>The analysis of how much each input feature contributes to a model’s predictions. In this study it uses Logistic Regression coefficients, SHAP values and permutation importance.</w:t>
      </w:r>
    </w:p>
    <w:p>
      <w:pPr>
        <w:jc w:val="both"/>
      </w:pPr>
      <w:r>
        <w:rPr>
          <w:b/>
        </w:rPr>
        <w:t xml:space="preserve">Fixation – </w:t>
      </w:r>
      <w:r>
        <w:rPr/>
        <w:t>A period in which the eyes remain relatively still on one location. In this study fixation rate and fixation duration are input features.</w:t>
      </w:r>
    </w:p>
    <w:p>
      <w:pPr>
        <w:jc w:val="both"/>
      </w:pPr>
      <w:r>
        <w:rPr>
          <w:b/>
        </w:rPr>
        <w:t xml:space="preserve">F1-Score – </w:t>
      </w:r>
      <w:r>
        <w:rPr/>
        <w:t>The harmonic mean of precision and recall. In this study the macro-averaged F1-score over both classes is reported.</w:t>
      </w:r>
    </w:p>
    <w:p>
      <w:pPr>
        <w:jc w:val="both"/>
      </w:pPr>
      <w:r>
        <w:rPr>
          <w:b/>
        </w:rPr>
        <w:t xml:space="preserve">Gaze Dispersion – </w:t>
      </w:r>
      <w:r>
        <w:rPr/>
        <w:t>The spread of gaze direction during a recording, measured as the standard deviation of gaze angle horizontally and vertically. In this study both directions are input features.</w:t>
      </w:r>
    </w:p>
    <w:p>
      <w:pPr>
        <w:jc w:val="both"/>
      </w:pPr>
      <w:r>
        <w:rPr>
          <w:b/>
        </w:rPr>
        <w:t xml:space="preserve">I-VT (Velocity-Threshold Identification) – </w:t>
      </w:r>
      <w:r>
        <w:rPr/>
        <w:t>An algorithm that labels eye samples as fixation or saccade depending on whether eye speed is below or above a threshold. In this study a threshold of 45°/s is used.</w:t>
      </w:r>
    </w:p>
    <w:p>
      <w:pPr>
        <w:jc w:val="both"/>
      </w:pPr>
      <w:r>
        <w:rPr>
          <w:b/>
        </w:rPr>
        <w:t xml:space="preserve">Leave-One-Participant-Out (LOPO) Validation – </w:t>
      </w:r>
      <w:r>
        <w:rPr/>
        <w:t>A validation procedure in which all data from one participant are held out for testing while the remaining participants are used for training, repeated for every participant.</w:t>
      </w:r>
    </w:p>
    <w:p>
      <w:pPr>
        <w:jc w:val="both"/>
      </w:pPr>
      <w:r>
        <w:rPr>
          <w:b/>
        </w:rPr>
        <w:t xml:space="preserve">Logistic Regression – </w:t>
      </w:r>
      <w:r>
        <w:rPr/>
        <w:t>A classification model that estimates the probability of a class from a weighted sum of input features. In this study it is the interpretable baseline model.</w:t>
      </w:r>
    </w:p>
    <w:p>
      <w:pPr>
        <w:jc w:val="both"/>
      </w:pPr>
      <w:r>
        <w:rPr>
          <w:b/>
        </w:rPr>
        <w:t xml:space="preserve">NASA-RTLX – </w:t>
      </w:r>
      <w:r>
        <w:rPr/>
        <w:t>The raw, unweighted version of the NASA Task Load Index questionnaire. In this study it is used only to confirm that the activities differed in workload.</w:t>
      </w:r>
    </w:p>
    <w:p>
      <w:pPr>
        <w:jc w:val="both"/>
      </w:pPr>
      <w:r>
        <w:rPr>
          <w:b/>
        </w:rPr>
        <w:t xml:space="preserve">Per-Person Standardization – </w:t>
      </w:r>
      <w:r>
        <w:rPr/>
        <w:t>Transforming each feature into a z-score using the mean and standard deviation of the same participant’s recordings. In this study it removes stable individual differences.</w:t>
      </w:r>
    </w:p>
    <w:p>
      <w:pPr>
        <w:jc w:val="both"/>
      </w:pPr>
      <w:r>
        <w:rPr>
          <w:b/>
        </w:rPr>
        <w:t xml:space="preserve">Permutation Importance – </w:t>
      </w:r>
      <w:r>
        <w:rPr/>
        <w:t>The drop in model performance when the values of one feature are randomly shuffled. In this study it is computed for both models on held-out predictions.</w:t>
      </w:r>
    </w:p>
    <w:p>
      <w:pPr>
        <w:jc w:val="both"/>
      </w:pPr>
      <w:r>
        <w:rPr>
          <w:b/>
        </w:rPr>
        <w:t xml:space="preserve">Pupil Diameter – </w:t>
      </w:r>
      <w:r>
        <w:rPr/>
        <w:t>The size of the pupil in millimetres, estimated by the tracker’s 3D eye model. In this study the mean and standard deviation of pupil diameter are input features.</w:t>
      </w:r>
    </w:p>
    <w:p>
      <w:pPr>
        <w:jc w:val="both"/>
      </w:pPr>
      <w:r>
        <w:rPr>
          <w:b/>
        </w:rPr>
        <w:t xml:space="preserve">ROC-AUC – </w:t>
      </w:r>
      <w:r>
        <w:rPr/>
        <w:t>The area under the Receiver Operating Characteristic curve, which measures how well a model ranks high-load above low-load recordings across all thresholds. In this study it is the primary metric.</w:t>
      </w:r>
    </w:p>
    <w:p>
      <w:pPr>
        <w:jc w:val="both"/>
      </w:pPr>
      <w:r>
        <w:rPr>
          <w:b/>
        </w:rPr>
        <w:t xml:space="preserve">Saccade – </w:t>
      </w:r>
      <w:r>
        <w:rPr/>
        <w:t>A rapid eye movement between fixations. In this study saccade rate, saccade amplitude and saccade peak velocity are input features.</w:t>
      </w:r>
    </w:p>
    <w:p>
      <w:pPr>
        <w:jc w:val="both"/>
      </w:pPr>
      <w:r>
        <w:rPr>
          <w:b/>
        </w:rPr>
        <w:t xml:space="preserve">SHAP (SHapley Additive exPlanations) – </w:t>
      </w:r>
      <w:r>
        <w:rPr/>
        <w:t>A method that divides each prediction into the contribution of each feature. In this study it is applied to both models so their feature rankings can be compared.</w:t>
      </w:r>
    </w:p>
    <w:p>
      <w:pPr>
        <w:jc w:val="both"/>
      </w:pPr>
      <w:r>
        <w:rPr>
          <w:b/>
        </w:rPr>
        <w:t xml:space="preserve">XGBoost – </w:t>
      </w:r>
      <w:r>
        <w:rPr/>
        <w:t>An implementation of gradient-boosted decision trees that builds trees sequentially to correct earlier errors. In this study it is the ensemble model compared with Logistic Regression.</w:t>
      </w:r>
    </w:p>
    <w:p>
      <w:pPr>
        <w:spacing w:after="0"/>
      </w:pPr>
      <w:r>
        <w:br w:type="page"/>
      </w:r>
    </w:p>
    <w:p>
      <w:pPr>
        <w:pStyle w:val="Heading1"/>
        <w:spacing w:after="360"/>
        <w:jc w:val="center"/>
      </w:pPr>
      <w:r>
        <w:rPr>
          <w:sz w:val="28"/>
        </w:rPr>
        <w:t>CHAPTER 2</w:t>
        <w:br/>
      </w:r>
      <w:r>
        <w:rPr>
          <w:sz w:val="24"/>
        </w:rPr>
        <w:t>REVIEW OF RELATED LITERATURE AND STUDIES</w:t>
      </w:r>
    </w:p>
    <w:p>
      <w:pPr>
        <w:ind w:firstLine="720"/>
        <w:jc w:val="both"/>
      </w:pPr>
      <w:r>
        <w:rPr/>
        <w:t>This chapter reviews the literature on cognitive load and its measurement, eye-tracking indicators of workload, the COLET dataset and its prior use, the use of Logistic Regression and XGBoost for workload classification, participant-independent validation, and feature importance analysis. It ends with a synthesis of the closest studies and the research gap addressed by this study.</w:t>
      </w:r>
    </w:p>
    <w:p>
      <w:pPr>
        <w:pStyle w:val="Heading2"/>
        <w:jc w:val="left"/>
      </w:pPr>
      <w:r>
        <w:t>COGNITIVE LOAD AND ITS MEASUREMENT</w:t>
      </w:r>
    </w:p>
    <w:p>
      <w:pPr>
        <w:ind w:firstLine="720"/>
        <w:jc w:val="both"/>
      </w:pPr>
      <w:r>
        <w:rPr/>
        <w:t>Cognitive load describes the share of a person’s limited mental capacity that a task requires [1]. In cognitive load theory, working memory is limited, so tasks that exceed it impair learning and performance [2]. In ergonomics, mental workload is studied because of its relationship with performance and safety in complex work [3].</w:t>
      </w:r>
    </w:p>
    <w:p>
      <w:pPr>
        <w:ind w:firstLine="720"/>
        <w:jc w:val="both"/>
      </w:pPr>
      <w:r>
        <w:rPr/>
        <w:t>Workload is commonly measured in three ways: subjective ratings, performance measures and physiological signals. The NASA Task Load Index is the most widely used rating scale; it asks participants to rate six dimensions of workload after a task [4], and its unweighted “raw” form is common in practice [32]. Ratings, however, are given after the task and reflect each person’s own judgement, and different workload measures are each sensitive to load but do not always agree [6]. Physiological measures are recorded continuously during the task. A systematic review of 91 studies found that eye measures were among the most frequently significant indicators of workload [5].</w:t>
      </w:r>
    </w:p>
    <w:p>
      <w:pPr>
        <w:pStyle w:val="Heading2"/>
        <w:jc w:val="left"/>
      </w:pPr>
      <w:r>
        <w:t>EYE-TRACKING INDICATORS OF COGNITIVE LOAD</w:t>
      </w:r>
    </w:p>
    <w:p>
      <w:pPr>
        <w:ind w:firstLine="720"/>
        <w:jc w:val="both"/>
      </w:pPr>
      <w:r>
        <w:rPr/>
        <w:t>Pupil diameter is the most established eye-tracking indicator of mental effort. The pupil dilates with increasing cognitive demand, but it also responds strongly to light, so luminance must be controlled or accounted for [33]. In the review by Tao et al., pupil diameter was significant in 79% of the studies that measured it [5].</w:t>
      </w:r>
    </w:p>
    <w:p>
      <w:pPr>
        <w:ind w:firstLine="720"/>
        <w:jc w:val="both"/>
      </w:pPr>
      <w:r>
        <w:rPr/>
        <w:t>Blink rate is also sensitive to workload, but its direction depends on the task: mental load tends to increase blinking, while visually demanding tasks suppress it [34]. Blinking also rises when people talk [22], which matters when a workload task involves speaking aloud.</w:t>
      </w:r>
    </w:p>
    <w:p>
      <w:pPr>
        <w:ind w:firstLine="720"/>
        <w:jc w:val="both"/>
      </w:pPr>
      <w:r>
        <w:rPr/>
        <w:t>Saccades and fixations describe how the eyes move. Saccade amplitude has been reported to decrease under load [35], and saccadic peak velocity has been proposed as a workload index [36], [37]. Fixation rate and duration are related to both perceptual and cognitive load [38]. Under higher load, gaze also tends to concentrate in a smaller area, so measures of gaze dispersion can reflect workload [39], [40].</w:t>
      </w:r>
    </w:p>
    <w:p>
      <w:pPr>
        <w:ind w:firstLine="720"/>
        <w:jc w:val="both"/>
      </w:pPr>
      <w:r>
        <w:rPr/>
        <w:t>Because fixations and saccades are not measured directly, they must be detected from raw gaze samples. The velocity-threshold algorithm (I-VT) labels samples as saccades when eye speed exceeds a threshold [29]. Evaluations of detection algorithms show that results depend strongly on the chosen algorithm and thresholds, so settings should be reported and the output checked [41], [42].</w:t>
      </w:r>
    </w:p>
    <w:p>
      <w:pPr>
        <w:pStyle w:val="Heading2"/>
        <w:jc w:val="left"/>
      </w:pPr>
      <w:r>
        <w:t>THE COLET DATASET AND ITS PRIOR USE</w:t>
      </w:r>
    </w:p>
    <w:p>
      <w:pPr>
        <w:ind w:firstLine="720"/>
        <w:jc w:val="both"/>
      </w:pPr>
      <w:r>
        <w:rPr/>
        <w:t>COLET was published by Ktistakis et al. in 2022 as an open dataset for cognitive workload estimation based on eye tracking [17]. Forty-seven participants solved visual-search puzzles in four activities that crossed two factors: time pressure and a secondary task of counting backwards aloud. Eye movements were recorded with a Pupil Labs Pupil Core tracker, and participants rated each activity with the NASA-RTLX. The authors extracted pupil, blink, fixation and saccade features and reported that Logistic Regression distinguished the single-task activity without time pressure (A1) from the multitask activity with time pressure (A4) with an accuracy of 0.85. That result was obtained with a random 80/20 split in which the same participants could appear in both training and test sets, and with feature selection performed on the full dataset. An earlier conference paper by the same group described the approach [43].</w:t>
      </w:r>
    </w:p>
    <w:p>
      <w:pPr>
        <w:ind w:firstLine="720"/>
        <w:jc w:val="both"/>
      </w:pPr>
      <w:r>
        <w:rPr/>
        <w:t>Several later studies used COLET. Fuhl et al. proposed a feature based on the distribution of pupil diameters over time and evaluated it with a random split of 10–30 s windows [44]. Wibirama et al. applied deep learning to eye-movement indices using overlapping windows [45], and Dell’Acqua et al. used large language models on symbolic gaze sequences with a trial-level split [46]. These protocols allow data from the same participant, or even the same recording, to appear on both sides of the split. Fenoglio et al. applied federated learning to COLET and evaluated on unseen users through four-fold user-grouped cross-validation, using windowed features with Gaussian Naive Bayes, random forest and neural network models [47]. None of these studies applied Logistic Regression and XGBoost together, and none reported feature importance.</w:t>
      </w:r>
    </w:p>
    <w:p>
      <w:pPr>
        <w:pStyle w:val="Heading2"/>
        <w:jc w:val="left"/>
      </w:pPr>
      <w:r>
        <w:t>LOGISTIC REGRESSION AND XGBOOST FOR COGNITIVE LOAD CLASSIFICATION</w:t>
      </w:r>
    </w:p>
    <w:p>
      <w:pPr>
        <w:ind w:firstLine="720"/>
        <w:jc w:val="both"/>
      </w:pPr>
      <w:r>
        <w:rPr/>
        <w:t>Logistic Regression models the probability of a class as a function of a weighted sum of features [7]. With small samples, its coefficients can become unstable, so regularization is used; the elastic net combines L1 and L2 penalties and handles groups of correlated features [48]. Kaczorowska et al. used elastic-net Logistic Regression for three-level workload classification from eye-tracking features and used its coefficients to rank feature importance [8].</w:t>
      </w:r>
    </w:p>
    <w:p>
      <w:pPr>
        <w:ind w:firstLine="720"/>
        <w:jc w:val="both"/>
      </w:pPr>
      <w:r>
        <w:rPr/>
        <w:t>XGBoost builds an ensemble of decision trees sequentially, with regularization to control overfitting [9]. Tree-based ensembles often perform well on tabular data [49]. In workload research, Walocha et al. tuned XGBoost with nested leave-one-subject-out validation and found that shallow trees were usually selected on their small dataset [50], while Shafiei et al. combined EEG and eye tracking with XGBoost and SHAP in a surgical task [16].</w:t>
      </w:r>
    </w:p>
    <w:p>
      <w:pPr>
        <w:ind w:firstLine="720"/>
        <w:jc w:val="both"/>
      </w:pPr>
      <w:r>
        <w:rPr/>
        <w:t>Studies that compared the two models directly reached different conclusions. Rolon-Merette et al. compared Logistic Regression, XGBoost and deep learning models on their own n-back data; when tested on held-out participants, XGBoost stayed above chance while Logistic Regression, which received raw time series, remained near chance [10]. Nerella et al. compared both models for cognitive load prediction in augmented reality [11], Chakraborty et al. compared Logistic Regression with boosting using eye-tracking data [51], and Shao et al. found similar performance for the two models with eye-only features in driving [12]. More broadly, a systematic review in clinical prediction found no consistent performance benefit of machine learning over Logistic Regression [24]. A similar result between the two models is therefore a plausible and meaningful outcome.</w:t>
      </w:r>
    </w:p>
    <w:p>
      <w:pPr>
        <w:pStyle w:val="Heading2"/>
        <w:jc w:val="left"/>
      </w:pPr>
      <w:r>
        <w:t>PARTICIPANT-INDEPENDENT VALIDATION AND DATA LEAKAGE</w:t>
      </w:r>
    </w:p>
    <w:p>
      <w:pPr>
        <w:ind w:firstLine="720"/>
        <w:jc w:val="both"/>
      </w:pPr>
      <w:r>
        <w:rPr/>
        <w:t>How a dataset is split strongly affects reported performance. When records from the same person appear in both training and test sets, a model can recognize the person rather than the condition, and accuracy is overestimated; subject-wise validation better represents use on new people [13], [52]. Leakage also occurs when preprocessing steps such as feature selection or scaling are fitted on the full dataset before splitting [14]. Hyperparameter tuning must likewise be kept inside the training data, through nested cross-validation, to avoid optimistic estimates [31], [53]. With small samples, cross-validated estimates have wide error bars, so uncertainty should be reported [54], [26].</w:t>
      </w:r>
    </w:p>
    <w:p>
      <w:pPr>
        <w:ind w:firstLine="720"/>
        <w:jc w:val="both"/>
      </w:pPr>
      <w:r>
        <w:rPr/>
        <w:t>Individual differences in eye behaviour are large and stable [30], which is why many cross-participant workload studies standardize features within each participant [15], [55], [56], [57]. In an EEG workload study, per-participant normalization improved cross-subject performance compared with no normalization [58]. Because this step uses unlabelled data from the test participant, its effect on reported performance should be acknowledged [14].</w:t>
      </w:r>
    </w:p>
    <w:p>
      <w:pPr>
        <w:pStyle w:val="Heading2"/>
        <w:jc w:val="left"/>
      </w:pPr>
      <w:r>
        <w:t>FEATURE IMPORTANCE ANALYSIS</w:t>
      </w:r>
    </w:p>
    <w:p>
      <w:pPr>
        <w:ind w:firstLine="720"/>
        <w:jc w:val="both"/>
      </w:pPr>
      <w:r>
        <w:rPr/>
        <w:t>Feature importance analysis identifies which inputs a model relies on. For linear models, standardized coefficients show the direction and size of each feature’s effect [59]. SHAP assigns each feature a share of every prediction based on Shapley values and can be applied to any model [18]; TreeSHAP computes these values efficiently for tree ensembles such as XGBoost [19]. Permutation importance measures the loss in performance when a feature is shuffled [20], [21]. Built-in tree importance measures can be biased toward certain features [60], and importance should be read as what a model relied on, not as a causal effect [61].</w:t>
      </w:r>
    </w:p>
    <w:p>
      <w:pPr>
        <w:ind w:firstLine="720"/>
        <w:jc w:val="both"/>
      </w:pPr>
      <w:r>
        <w:rPr/>
        <w:t>In eye-tracking workload research, Božak et al. combined condition labels, leave-one-subject-out validation and SHAP explanations, and found subject-normalized features and fixation dispersion among the most important [15]. Xu et al. used nested leave-one-subject-out validation with SHAP and cautioned against over-interpreting explanations from small samples [62]. These studies explained a single model or a single model family; Logistic Regression studies used coefficients [8], while tree-based studies used SHAP [16].</w:t>
      </w:r>
    </w:p>
    <w:p>
      <w:pPr>
        <w:pStyle w:val="Heading2"/>
        <w:jc w:val="left"/>
      </w:pPr>
      <w:r>
        <w:t>SYNTHESIS</w:t>
      </w:r>
    </w:p>
    <w:p>
      <w:pPr>
        <w:ind w:firstLine="720"/>
        <w:jc w:val="both"/>
      </w:pPr>
      <w:r>
        <w:rPr/>
        <w:t>Table 1 summarizes the studies closest to this research.</w:t>
      </w:r>
    </w:p>
    <w:p>
      <w:pPr>
        <w:keepNext/>
        <w:spacing w:after="120"/>
        <w:jc w:val="left"/>
      </w:pPr>
      <w:r>
        <w:rPr>
          <w:b/>
        </w:rPr>
        <w:t xml:space="preserve">Table 1. </w:t>
      </w:r>
      <w:r>
        <w:rPr/>
        <w:t>Summary of the closest related studies.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32"/>
            <w:shd w:val="clear" w:color="auto" w:fill="D9D9D9"/>
          </w:tcPr>
          <w:p>
            <w:pPr>
              <w:spacing w:line="240" w:lineRule="auto" w:after="40"/>
              <w:ind w:firstLine="0"/>
            </w:pPr>
            <w:r>
              <w:rPr>
                <w:b/>
                <w:sz w:val="18"/>
              </w:rPr>
              <w:t>Study</w:t>
            </w:r>
          </w:p>
        </w:tc>
        <w:tc>
          <w:tcPr>
            <w:tcW w:type="dxa" w:w="1224"/>
            <w:shd w:val="clear" w:color="auto" w:fill="D9D9D9"/>
          </w:tcPr>
          <w:p>
            <w:pPr>
              <w:spacing w:line="240" w:lineRule="auto" w:after="40"/>
              <w:ind w:firstLine="0"/>
            </w:pPr>
            <w:r>
              <w:rPr>
                <w:b/>
                <w:sz w:val="18"/>
              </w:rPr>
              <w:t>Data</w:t>
            </w:r>
          </w:p>
        </w:tc>
        <w:tc>
          <w:tcPr>
            <w:tcW w:type="dxa" w:w="2016"/>
            <w:shd w:val="clear" w:color="auto" w:fill="D9D9D9"/>
          </w:tcPr>
          <w:p>
            <w:pPr>
              <w:spacing w:line="240" w:lineRule="auto" w:after="40"/>
              <w:ind w:firstLine="0"/>
            </w:pPr>
            <w:r>
              <w:rPr>
                <w:b/>
                <w:sz w:val="18"/>
              </w:rPr>
              <w:t>Models</w:t>
            </w:r>
          </w:p>
        </w:tc>
        <w:tc>
          <w:tcPr>
            <w:tcW w:type="dxa" w:w="1872"/>
            <w:shd w:val="clear" w:color="auto" w:fill="D9D9D9"/>
          </w:tcPr>
          <w:p>
            <w:pPr>
              <w:spacing w:line="240" w:lineRule="auto" w:after="40"/>
              <w:ind w:firstLine="0"/>
            </w:pPr>
            <w:r>
              <w:rPr>
                <w:b/>
                <w:sz w:val="18"/>
              </w:rPr>
              <w:t>Validation</w:t>
            </w:r>
          </w:p>
        </w:tc>
        <w:tc>
          <w:tcPr>
            <w:tcW w:type="dxa" w:w="2016"/>
            <w:shd w:val="clear" w:color="auto" w:fill="D9D9D9"/>
          </w:tcPr>
          <w:p>
            <w:pPr>
              <w:spacing w:line="240" w:lineRule="auto" w:after="40"/>
              <w:ind w:firstLine="0"/>
            </w:pPr>
            <w:r>
              <w:rPr>
                <w:b/>
                <w:sz w:val="18"/>
              </w:rPr>
              <w:t>Feature importance</w:t>
            </w:r>
          </w:p>
        </w:tc>
      </w:tr>
      <w:tr>
        <w:tc>
          <w:tcPr>
            <w:tcW w:type="dxa" w:w="2232"/>
          </w:tcPr>
          <w:p>
            <w:pPr>
              <w:spacing w:line="240" w:lineRule="auto" w:after="40"/>
              <w:ind w:firstLine="0"/>
            </w:pPr>
            <w:r>
              <w:rPr>
                <w:sz w:val="18"/>
              </w:rPr>
              <w:t>Ktistakis et al. [17]</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Several classifiers incl. LR</w:t>
            </w:r>
          </w:p>
        </w:tc>
        <w:tc>
          <w:tcPr>
            <w:tcW w:type="dxa" w:w="1872"/>
          </w:tcPr>
          <w:p>
            <w:pPr>
              <w:spacing w:line="240" w:lineRule="auto" w:after="40"/>
              <w:ind w:firstLine="0"/>
            </w:pPr>
            <w:r>
              <w:rPr>
                <w:sz w:val="18"/>
              </w:rPr>
              <w:t>Random 80/20 split</w:t>
            </w:r>
          </w:p>
        </w:tc>
        <w:tc>
          <w:tcPr>
            <w:tcW w:type="dxa" w:w="2016"/>
          </w:tcPr>
          <w:p>
            <w:pPr>
              <w:spacing w:line="240" w:lineRule="auto" w:after="40"/>
              <w:ind w:firstLine="0"/>
            </w:pPr>
            <w:r>
              <w:rPr>
                <w:sz w:val="18"/>
              </w:rPr>
              <w:t>ANOVA feature selection</w:t>
            </w:r>
          </w:p>
        </w:tc>
      </w:tr>
      <w:tr>
        <w:tc>
          <w:tcPr>
            <w:tcW w:type="dxa" w:w="2232"/>
          </w:tcPr>
          <w:p>
            <w:pPr>
              <w:spacing w:line="240" w:lineRule="auto" w:after="40"/>
              <w:ind w:firstLine="0"/>
            </w:pPr>
            <w:r>
              <w:rPr>
                <w:sz w:val="18"/>
              </w:rPr>
              <w:t>Fuhl et al. [44]</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Classifiers on a pupil feature</w:t>
            </w:r>
          </w:p>
        </w:tc>
        <w:tc>
          <w:tcPr>
            <w:tcW w:type="dxa" w:w="1872"/>
          </w:tcPr>
          <w:p>
            <w:pPr>
              <w:spacing w:line="240" w:lineRule="auto" w:after="40"/>
              <w:ind w:firstLine="0"/>
            </w:pPr>
            <w:r>
              <w:rPr>
                <w:sz w:val="18"/>
              </w:rPr>
              <w:t>Random split of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Fenoglio et al. [47]</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GNB, RF, neural networks</w:t>
            </w:r>
          </w:p>
        </w:tc>
        <w:tc>
          <w:tcPr>
            <w:tcW w:type="dxa" w:w="1872"/>
          </w:tcPr>
          <w:p>
            <w:pPr>
              <w:spacing w:line="240" w:lineRule="auto" w:after="40"/>
              <w:ind w:firstLine="0"/>
            </w:pPr>
            <w:r>
              <w:rPr>
                <w:sz w:val="18"/>
              </w:rPr>
              <w:t>4-fold user-grouped CV</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Wibirama et al. [45]</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Deep learning</w:t>
            </w:r>
          </w:p>
        </w:tc>
        <w:tc>
          <w:tcPr>
            <w:tcW w:type="dxa" w:w="1872"/>
          </w:tcPr>
          <w:p>
            <w:pPr>
              <w:spacing w:line="240" w:lineRule="auto" w:after="40"/>
              <w:ind w:firstLine="0"/>
            </w:pPr>
            <w:r>
              <w:rPr>
                <w:sz w:val="18"/>
              </w:rPr>
              <w:t>Overlapping windows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Dell’Acqua et al. [46]</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Large language models</w:t>
            </w:r>
          </w:p>
        </w:tc>
        <w:tc>
          <w:tcPr>
            <w:tcW w:type="dxa" w:w="1872"/>
          </w:tcPr>
          <w:p>
            <w:pPr>
              <w:spacing w:line="240" w:lineRule="auto" w:after="40"/>
              <w:ind w:firstLine="0"/>
            </w:pPr>
            <w:r>
              <w:rPr>
                <w:sz w:val="18"/>
              </w:rPr>
              <w:t>Trial-level split</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Rolon-Merette et al. [10]</w:t>
            </w:r>
          </w:p>
        </w:tc>
        <w:tc>
          <w:tcPr>
            <w:tcW w:type="dxa" w:w="1224"/>
          </w:tcPr>
          <w:p>
            <w:pPr>
              <w:spacing w:line="240" w:lineRule="auto" w:after="40"/>
              <w:ind w:firstLine="0"/>
            </w:pPr>
            <w:r>
              <w:rPr>
                <w:sz w:val="18"/>
              </w:rPr>
              <w:t>Own n-back data</w:t>
            </w:r>
          </w:p>
        </w:tc>
        <w:tc>
          <w:tcPr>
            <w:tcW w:type="dxa" w:w="2016"/>
          </w:tcPr>
          <w:p>
            <w:pPr>
              <w:spacing w:line="240" w:lineRule="auto" w:after="40"/>
              <w:ind w:firstLine="0"/>
            </w:pPr>
            <w:r>
              <w:rPr>
                <w:sz w:val="18"/>
              </w:rPr>
              <w:t>LR, XGBoost, SVM, CNN, Transformer</w:t>
            </w:r>
          </w:p>
        </w:tc>
        <w:tc>
          <w:tcPr>
            <w:tcW w:type="dxa" w:w="1872"/>
          </w:tcPr>
          <w:p>
            <w:pPr>
              <w:spacing w:line="240" w:lineRule="auto" w:after="40"/>
              <w:ind w:firstLine="0"/>
            </w:pPr>
            <w:r>
              <w:rPr>
                <w:sz w:val="18"/>
              </w:rPr>
              <w:t>10 held-out participants</w:t>
            </w:r>
          </w:p>
        </w:tc>
        <w:tc>
          <w:tcPr>
            <w:tcW w:type="dxa" w:w="2016"/>
          </w:tcPr>
          <w:p>
            <w:pPr>
              <w:spacing w:line="240" w:lineRule="auto" w:after="40"/>
              <w:ind w:firstLine="0"/>
            </w:pPr>
            <w:r>
              <w:rPr>
                <w:sz w:val="18"/>
              </w:rPr>
              <w:t>–</w:t>
            </w:r>
          </w:p>
        </w:tc>
      </w:tr>
      <w:tr>
        <w:tc>
          <w:tcPr>
            <w:tcW w:type="dxa" w:w="2232"/>
          </w:tcPr>
          <w:p>
            <w:pPr>
              <w:spacing w:line="240" w:lineRule="auto" w:after="40"/>
              <w:ind w:firstLine="0"/>
            </w:pPr>
            <w:r>
              <w:rPr>
                <w:sz w:val="18"/>
              </w:rPr>
              <w:t>Kaczorowska et al. [8]</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Elastic-net LR and others</w:t>
            </w:r>
          </w:p>
        </w:tc>
        <w:tc>
          <w:tcPr>
            <w:tcW w:type="dxa" w:w="1872"/>
          </w:tcPr>
          <w:p>
            <w:pPr>
              <w:spacing w:line="240" w:lineRule="auto" w:after="40"/>
              <w:ind w:firstLine="0"/>
            </w:pPr>
            <w:r>
              <w:rPr>
                <w:sz w:val="18"/>
              </w:rPr>
              <w:t>–</w:t>
            </w:r>
          </w:p>
        </w:tc>
        <w:tc>
          <w:tcPr>
            <w:tcW w:type="dxa" w:w="2016"/>
          </w:tcPr>
          <w:p>
            <w:pPr>
              <w:spacing w:line="240" w:lineRule="auto" w:after="40"/>
              <w:ind w:firstLine="0"/>
            </w:pPr>
            <w:r>
              <w:rPr>
                <w:sz w:val="18"/>
              </w:rPr>
              <w:t>LR coefficients</w:t>
            </w:r>
          </w:p>
        </w:tc>
      </w:tr>
      <w:tr>
        <w:tc>
          <w:tcPr>
            <w:tcW w:type="dxa" w:w="2232"/>
          </w:tcPr>
          <w:p>
            <w:pPr>
              <w:spacing w:line="240" w:lineRule="auto" w:after="40"/>
              <w:ind w:firstLine="0"/>
            </w:pPr>
            <w:r>
              <w:rPr>
                <w:sz w:val="18"/>
              </w:rPr>
              <w:t>Božak et al. [15]</w:t>
            </w:r>
          </w:p>
        </w:tc>
        <w:tc>
          <w:tcPr>
            <w:tcW w:type="dxa" w:w="1224"/>
          </w:tcPr>
          <w:p>
            <w:pPr>
              <w:spacing w:line="240" w:lineRule="auto" w:after="40"/>
              <w:ind w:firstLine="0"/>
            </w:pPr>
            <w:r>
              <w:rPr>
                <w:sz w:val="18"/>
              </w:rPr>
              <w:t>Own data</w:t>
            </w:r>
          </w:p>
        </w:tc>
        <w:tc>
          <w:tcPr>
            <w:tcW w:type="dxa" w:w="2016"/>
          </w:tcPr>
          <w:p>
            <w:pPr>
              <w:spacing w:line="240" w:lineRule="auto" w:after="40"/>
              <w:ind w:firstLine="0"/>
            </w:pPr>
            <w:r>
              <w:rPr>
                <w:sz w:val="18"/>
              </w:rPr>
              <w:t>Feature-based models</w:t>
            </w:r>
          </w:p>
        </w:tc>
        <w:tc>
          <w:tcPr>
            <w:tcW w:type="dxa" w:w="1872"/>
          </w:tcPr>
          <w:p>
            <w:pPr>
              <w:spacing w:line="240" w:lineRule="auto" w:after="40"/>
              <w:ind w:firstLine="0"/>
            </w:pPr>
            <w:r>
              <w:rPr>
                <w:sz w:val="18"/>
              </w:rPr>
              <w:t>Leave-one-subject-out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Shafiei et al. [16]</w:t>
            </w:r>
          </w:p>
        </w:tc>
        <w:tc>
          <w:tcPr>
            <w:tcW w:type="dxa" w:w="1224"/>
          </w:tcPr>
          <w:p>
            <w:pPr>
              <w:spacing w:line="240" w:lineRule="auto" w:after="40"/>
              <w:ind w:firstLine="0"/>
            </w:pPr>
            <w:r>
              <w:rPr>
                <w:sz w:val="18"/>
              </w:rPr>
              <w:t>EEG + eye</w:t>
            </w:r>
          </w:p>
        </w:tc>
        <w:tc>
          <w:tcPr>
            <w:tcW w:type="dxa" w:w="2016"/>
          </w:tcPr>
          <w:p>
            <w:pPr>
              <w:spacing w:line="240" w:lineRule="auto" w:after="40"/>
              <w:ind w:firstLine="0"/>
            </w:pPr>
            <w:r>
              <w:rPr>
                <w:sz w:val="18"/>
              </w:rPr>
              <w:t>XGBoost</w:t>
            </w:r>
          </w:p>
        </w:tc>
        <w:tc>
          <w:tcPr>
            <w:tcW w:type="dxa" w:w="1872"/>
          </w:tcPr>
          <w:p>
            <w:pPr>
              <w:spacing w:line="240" w:lineRule="auto" w:after="40"/>
              <w:ind w:firstLine="0"/>
            </w:pPr>
            <w:r>
              <w:rPr>
                <w:sz w:val="18"/>
              </w:rPr>
              <w:t>Random split</w:t>
            </w:r>
          </w:p>
        </w:tc>
        <w:tc>
          <w:tcPr>
            <w:tcW w:type="dxa" w:w="2016"/>
          </w:tcPr>
          <w:p>
            <w:pPr>
              <w:spacing w:line="240" w:lineRule="auto" w:after="40"/>
              <w:ind w:firstLine="0"/>
            </w:pPr>
            <w:r>
              <w:rPr>
                <w:sz w:val="18"/>
              </w:rPr>
              <w:t>SHAP</w:t>
            </w:r>
          </w:p>
        </w:tc>
      </w:tr>
      <w:tr>
        <w:tc>
          <w:tcPr>
            <w:tcW w:type="dxa" w:w="2232"/>
          </w:tcPr>
          <w:p>
            <w:pPr>
              <w:spacing w:line="240" w:lineRule="auto" w:after="40"/>
              <w:ind w:firstLine="0"/>
            </w:pPr>
            <w:r>
              <w:rPr>
                <w:sz w:val="18"/>
              </w:rPr>
              <w:t>This study</w:t>
            </w:r>
          </w:p>
        </w:tc>
        <w:tc>
          <w:tcPr>
            <w:tcW w:type="dxa" w:w="1224"/>
          </w:tcPr>
          <w:p>
            <w:pPr>
              <w:spacing w:line="240" w:lineRule="auto" w:after="40"/>
              <w:ind w:firstLine="0"/>
            </w:pPr>
            <w:r>
              <w:rPr>
                <w:sz w:val="18"/>
              </w:rPr>
              <w:t>COLET</w:t>
            </w:r>
          </w:p>
        </w:tc>
        <w:tc>
          <w:tcPr>
            <w:tcW w:type="dxa" w:w="2016"/>
          </w:tcPr>
          <w:p>
            <w:pPr>
              <w:spacing w:line="240" w:lineRule="auto" w:after="40"/>
              <w:ind w:firstLine="0"/>
            </w:pPr>
            <w:r>
              <w:rPr>
                <w:sz w:val="18"/>
              </w:rPr>
              <w:t>LR (elastic net), XGBoost</w:t>
            </w:r>
          </w:p>
        </w:tc>
        <w:tc>
          <w:tcPr>
            <w:tcW w:type="dxa" w:w="1872"/>
          </w:tcPr>
          <w:p>
            <w:pPr>
              <w:spacing w:line="240" w:lineRule="auto" w:after="40"/>
              <w:ind w:firstLine="0"/>
            </w:pPr>
            <w:r>
              <w:rPr>
                <w:sz w:val="18"/>
              </w:rPr>
              <w:t>Leave-one-participant-out</w:t>
            </w:r>
          </w:p>
        </w:tc>
        <w:tc>
          <w:tcPr>
            <w:tcW w:type="dxa" w:w="2016"/>
          </w:tcPr>
          <w:p>
            <w:pPr>
              <w:spacing w:line="240" w:lineRule="auto" w:after="40"/>
              <w:ind w:firstLine="0"/>
            </w:pPr>
            <w:r>
              <w:rPr>
                <w:sz w:val="18"/>
              </w:rPr>
              <w:t>LR coefficients, SHAP for both models, permutation</w:t>
            </w:r>
          </w:p>
        </w:tc>
      </w:tr>
    </w:tbl>
    <w:p>
      <w:pPr>
        <w:spacing w:after="120"/>
      </w:pPr>
    </w:p>
    <w:p>
      <w:pPr>
        <w:jc w:val="both"/>
      </w:pPr>
      <w:r>
        <w:rPr>
          <w:highlight w:val="yellow"/>
        </w:rPr>
        <w:t>[Team: confirm the Kaczorowska validation entry and the COLET models list against the full texts before submission.]</w:t>
      </w:r>
    </w:p>
    <w:p>
      <w:pPr>
        <w:ind w:firstLine="720"/>
        <w:jc w:val="both"/>
      </w:pPr>
      <w:r>
        <w:rPr/>
        <w:t>Among the studies identified in our literature search, none applied XGBoost or SHAP to COLET, and none combined a comparison of Logistic Regression and XGBoost with leave-one-participant-out validation and SHAP for both models. On COLET, the one participant-independent evaluation found [47] used neither Logistic Regression, XGBoost nor feature importance, and the other COLET studies used random, window-level or trial-level splits [17], [44], [46]. This study addresses that gap by comparing the two models on COLET under leave-one-participant-out validation and by explaining both models with the same method.</w:t>
      </w:r>
    </w:p>
    <w:p>
      <w:pPr>
        <w:spacing w:after="0"/>
      </w:pPr>
      <w:r>
        <w:br w:type="page"/>
      </w:r>
    </w:p>
    <w:p>
      <w:pPr>
        <w:pStyle w:val="Heading1"/>
        <w:spacing w:after="360"/>
        <w:jc w:val="center"/>
      </w:pPr>
      <w:r>
        <w:rPr>
          <w:sz w:val="28"/>
        </w:rPr>
        <w:t>CHAPTER 3</w:t>
        <w:br/>
      </w:r>
      <w:r>
        <w:rPr>
          <w:sz w:val="24"/>
        </w:rPr>
        <w:t>METHODOLOGY</w:t>
      </w:r>
    </w:p>
    <w:p>
      <w:pPr>
        <w:ind w:firstLine="720"/>
        <w:jc w:val="both"/>
      </w:pPr>
      <w:r>
        <w:rPr/>
        <w:t>This chapter describes the research design, dataset, labels, preprocessing, feature extraction, models, validation procedure, evaluation metrics, feature importance analysis and ethical considerations of the study. Figure 2 gives an overview of the methodology.</w:t>
      </w:r>
    </w:p>
    <w:p>
      <w:pPr>
        <w:keepNext/>
        <w:spacing w:after="120"/>
        <w:jc w:val="center"/>
      </w:pPr>
      <w:r>
        <w:drawing>
          <wp:inline xmlns:a="http://schemas.openxmlformats.org/drawingml/2006/main" xmlns:pic="http://schemas.openxmlformats.org/drawingml/2006/picture">
            <wp:extent cx="3931920" cy="4930620"/>
            <wp:docPr id="2" name="Picture 2"/>
            <wp:cNvGraphicFramePr>
              <a:graphicFrameLocks noChangeAspect="1"/>
            </wp:cNvGraphicFramePr>
            <a:graphic>
              <a:graphicData uri="http://schemas.openxmlformats.org/drawingml/2006/picture">
                <pic:pic>
                  <pic:nvPicPr>
                    <pic:cNvPr id="0" name="fig3_methodology.png"/>
                    <pic:cNvPicPr/>
                  </pic:nvPicPr>
                  <pic:blipFill>
                    <a:blip r:embed="rId10"/>
                    <a:stretch>
                      <a:fillRect/>
                    </a:stretch>
                  </pic:blipFill>
                  <pic:spPr>
                    <a:xfrm>
                      <a:off x="0" y="0"/>
                      <a:ext cx="3931920" cy="4930620"/>
                    </a:xfrm>
                    <a:prstGeom prst="rect"/>
                  </pic:spPr>
                </pic:pic>
              </a:graphicData>
            </a:graphic>
          </wp:inline>
        </w:drawing>
      </w:r>
    </w:p>
    <w:p>
      <w:pPr>
        <w:keepNext w:val="0"/>
        <w:spacing w:after="240"/>
        <w:jc w:val="center"/>
      </w:pPr>
      <w:r>
        <w:rPr>
          <w:b/>
        </w:rPr>
        <w:t xml:space="preserve">Figure 2. </w:t>
      </w:r>
      <w:r>
        <w:rPr/>
        <w:t>Overview of the methodology.</w:t>
      </w:r>
    </w:p>
    <w:p>
      <w:pPr>
        <w:pStyle w:val="Heading2"/>
        <w:jc w:val="left"/>
      </w:pPr>
      <w:r>
        <w:t>RESEARCH DESIGN</w:t>
      </w:r>
    </w:p>
    <w:p>
      <w:pPr>
        <w:ind w:firstLine="720"/>
        <w:jc w:val="both"/>
      </w:pPr>
      <w:r>
        <w:rPr/>
        <w:t>The study uses a quantitative, comparative design based on secondary analysis of a public dataset. Two classification models are trained and evaluated on the same features, with the same folds and the same tuning budget, so that differences in performance can be attributed to the models. To keep the analysis focused, only the steps needed for two pre-specified analyses are included: the main analysis (P1) with all ten features and a pupil-only analysis (P2). All thresholds and settings were fixed before any model was trained, after a data-quality inspection that did not look at how well any feature separated the two load levels.</w:t>
      </w:r>
    </w:p>
    <w:p>
      <w:pPr>
        <w:pStyle w:val="Heading2"/>
        <w:jc w:val="left"/>
      </w:pPr>
      <w:r>
        <w:t>DATASET</w:t>
      </w:r>
    </w:p>
    <w:p>
      <w:pPr>
        <w:ind w:firstLine="720"/>
        <w:jc w:val="both"/>
      </w:pPr>
      <w:r>
        <w:rPr/>
        <w:t>The study uses COLET, version 3, downloaded from Zenodo (record 7766785) and released under a CC BY 4.0 licence [17]. Table 2 summarizes the dataset.</w:t>
      </w:r>
    </w:p>
    <w:p>
      <w:pPr>
        <w:keepNext/>
        <w:spacing w:after="120"/>
        <w:jc w:val="left"/>
      </w:pPr>
      <w:r>
        <w:rPr>
          <w:b/>
        </w:rPr>
        <w:t xml:space="preserve">Table 2. </w:t>
      </w:r>
      <w:r>
        <w:rPr/>
        <w:t>Description of the COLET dataset.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Item</w:t>
            </w:r>
          </w:p>
        </w:tc>
        <w:tc>
          <w:tcPr>
            <w:tcW w:type="dxa" w:w="7056"/>
            <w:shd w:val="clear" w:color="auto" w:fill="D9D9D9"/>
          </w:tcPr>
          <w:p>
            <w:pPr>
              <w:spacing w:line="240" w:lineRule="auto" w:after="40"/>
              <w:ind w:firstLine="0"/>
            </w:pPr>
            <w:r>
              <w:rPr>
                <w:b/>
                <w:sz w:val="20"/>
              </w:rPr>
              <w:t>Description</w:t>
            </w:r>
          </w:p>
        </w:tc>
      </w:tr>
      <w:tr>
        <w:tc>
          <w:tcPr>
            <w:tcW w:type="dxa" w:w="2304"/>
          </w:tcPr>
          <w:p>
            <w:pPr>
              <w:spacing w:line="240" w:lineRule="auto" w:after="40"/>
              <w:ind w:firstLine="0"/>
            </w:pPr>
            <w:r>
              <w:rPr>
                <w:sz w:val="20"/>
              </w:rPr>
              <w:t>Participants</w:t>
            </w:r>
          </w:p>
        </w:tc>
        <w:tc>
          <w:tcPr>
            <w:tcW w:type="dxa" w:w="7056"/>
          </w:tcPr>
          <w:p>
            <w:pPr>
              <w:spacing w:line="240" w:lineRule="auto" w:after="40"/>
              <w:ind w:firstLine="0"/>
            </w:pPr>
            <w:r>
              <w:rPr>
                <w:sz w:val="20"/>
              </w:rPr>
              <w:t>56 recruited; 9 excluded by the authors; 47 released (26 female, 21 male; age 32 ± 8 years)</w:t>
            </w:r>
          </w:p>
        </w:tc>
      </w:tr>
      <w:tr>
        <w:tc>
          <w:tcPr>
            <w:tcW w:type="dxa" w:w="2304"/>
          </w:tcPr>
          <w:p>
            <w:pPr>
              <w:spacing w:line="240" w:lineRule="auto" w:after="40"/>
              <w:ind w:firstLine="0"/>
            </w:pPr>
            <w:r>
              <w:rPr>
                <w:sz w:val="20"/>
              </w:rPr>
              <w:t>Setting</w:t>
            </w:r>
          </w:p>
        </w:tc>
        <w:tc>
          <w:tcPr>
            <w:tcW w:type="dxa" w:w="7056"/>
          </w:tcPr>
          <w:p>
            <w:pPr>
              <w:spacing w:line="240" w:lineRule="auto" w:after="40"/>
              <w:ind w:firstLine="0"/>
            </w:pPr>
            <w:r>
              <w:rPr>
                <w:sz w:val="20"/>
              </w:rPr>
              <w:t>Laboratory with chin and head rest; 24-inch screen (1280 × 720) at 80 cm; controlled lighting</w:t>
            </w:r>
          </w:p>
        </w:tc>
      </w:tr>
      <w:tr>
        <w:tc>
          <w:tcPr>
            <w:tcW w:type="dxa" w:w="2304"/>
          </w:tcPr>
          <w:p>
            <w:pPr>
              <w:spacing w:line="240" w:lineRule="auto" w:after="40"/>
              <w:ind w:firstLine="0"/>
            </w:pPr>
            <w:r>
              <w:rPr>
                <w:sz w:val="20"/>
              </w:rPr>
              <w:t>Eye tracker</w:t>
            </w:r>
          </w:p>
        </w:tc>
        <w:tc>
          <w:tcPr>
            <w:tcW w:type="dxa" w:w="7056"/>
          </w:tcPr>
          <w:p>
            <w:pPr>
              <w:spacing w:line="240" w:lineRule="auto" w:after="40"/>
              <w:ind w:firstLine="0"/>
            </w:pPr>
            <w:r>
              <w:rPr>
                <w:sz w:val="20"/>
              </w:rPr>
              <w:t>Pupil Labs Pupil Core, binocular, 240 Hz per eye</w:t>
            </w:r>
          </w:p>
        </w:tc>
      </w:tr>
      <w:tr>
        <w:tc>
          <w:tcPr>
            <w:tcW w:type="dxa" w:w="2304"/>
          </w:tcPr>
          <w:p>
            <w:pPr>
              <w:spacing w:line="240" w:lineRule="auto" w:after="40"/>
              <w:ind w:firstLine="0"/>
            </w:pPr>
            <w:r>
              <w:rPr>
                <w:sz w:val="20"/>
              </w:rPr>
              <w:t>Task</w:t>
            </w:r>
          </w:p>
        </w:tc>
        <w:tc>
          <w:tcPr>
            <w:tcW w:type="dxa" w:w="7056"/>
          </w:tcPr>
          <w:p>
            <w:pPr>
              <w:spacing w:line="240" w:lineRule="auto" w:after="40"/>
              <w:ind w:firstLine="0"/>
            </w:pPr>
            <w:r>
              <w:rPr>
                <w:sz w:val="20"/>
              </w:rPr>
              <w:t>Visual-search puzzles, five images per activity; activities in random order with 2-minute breaks</w:t>
            </w:r>
          </w:p>
        </w:tc>
      </w:tr>
      <w:tr>
        <w:tc>
          <w:tcPr>
            <w:tcW w:type="dxa" w:w="2304"/>
          </w:tcPr>
          <w:p>
            <w:pPr>
              <w:spacing w:line="240" w:lineRule="auto" w:after="40"/>
              <w:ind w:firstLine="0"/>
            </w:pPr>
            <w:r>
              <w:rPr>
                <w:sz w:val="20"/>
              </w:rPr>
              <w:t>Design</w:t>
            </w:r>
          </w:p>
        </w:tc>
        <w:tc>
          <w:tcPr>
            <w:tcW w:type="dxa" w:w="7056"/>
          </w:tcPr>
          <w:p>
            <w:pPr>
              <w:spacing w:line="240" w:lineRule="auto" w:after="40"/>
              <w:ind w:firstLine="0"/>
            </w:pPr>
            <w:r>
              <w:rPr>
                <w:sz w:val="20"/>
              </w:rPr>
              <w:t>2 × 2: time pressure × secondary task (counting backwards aloud from 1000 in steps of 4)</w:t>
            </w:r>
          </w:p>
        </w:tc>
      </w:tr>
      <w:tr>
        <w:tc>
          <w:tcPr>
            <w:tcW w:type="dxa" w:w="2304"/>
          </w:tcPr>
          <w:p>
            <w:pPr>
              <w:spacing w:line="240" w:lineRule="auto" w:after="40"/>
              <w:ind w:firstLine="0"/>
            </w:pPr>
            <w:r>
              <w:rPr>
                <w:sz w:val="20"/>
              </w:rPr>
              <w:t>Released data</w:t>
            </w:r>
          </w:p>
        </w:tc>
        <w:tc>
          <w:tcPr>
            <w:tcW w:type="dxa" w:w="7056"/>
          </w:tcPr>
          <w:p>
            <w:pPr>
              <w:spacing w:line="240" w:lineRule="auto" w:after="40"/>
              <w:ind w:firstLine="0"/>
            </w:pPr>
            <w:r>
              <w:rPr>
                <w:sz w:val="20"/>
              </w:rPr>
              <w:t>Raw gaze, pupil and blink exports per participant and activity; NASA-RTLX per activity; no fixation or saccade events</w:t>
            </w:r>
          </w:p>
        </w:tc>
      </w:tr>
    </w:tbl>
    <w:p>
      <w:pPr>
        <w:spacing w:after="120"/>
      </w:pPr>
    </w:p>
    <w:p>
      <w:pPr>
        <w:pStyle w:val="Heading2"/>
        <w:jc w:val="left"/>
      </w:pPr>
      <w:r>
        <w:t>LABELS AND UNIT OF ANALYSIS</w:t>
      </w:r>
    </w:p>
    <w:p>
      <w:pPr>
        <w:ind w:firstLine="720"/>
        <w:jc w:val="both"/>
      </w:pPr>
      <w:r>
        <w:rPr/>
        <w:t>Labels are taken from the experimental conditions. For every participant, activity A1 (single task, no time pressure) is labelled low load and activity A4 (counting aloud under time pressure) is labelled high load. The middle conditions, A2 and A3, are left out of the classification, following studies that compare the extremes of a workload manipulation [63], [56], [64]. Condition labels are used rather than self-reports because ratings depend on each participant’s own scale [6].</w:t>
      </w:r>
    </w:p>
    <w:p>
      <w:pPr>
        <w:ind w:firstLine="720"/>
        <w:jc w:val="both"/>
      </w:pPr>
      <w:r>
        <w:rPr/>
        <w:t>NASA-RTLX ratings are used as a manipulation check [32]. A Friedman test compares the ratings across the four activities, and each participant’s A4 rating is compared with their A1 rating. In the released data, all 47 participants rated A4 higher than A1.</w:t>
      </w:r>
    </w:p>
    <w:p>
      <w:pPr>
        <w:ind w:firstLine="720"/>
        <w:jc w:val="both"/>
      </w:pPr>
      <w:r>
        <w:rPr/>
        <w:t>Because the activities are short (11 to 141 s), the unit of analysis is one sample per whole activity, the same unit used by the COLET authors [17]. This gives two samples per participant.</w:t>
      </w:r>
    </w:p>
    <w:p>
      <w:pPr>
        <w:keepNext/>
        <w:spacing w:after="120"/>
        <w:jc w:val="left"/>
      </w:pPr>
      <w:r>
        <w:rPr>
          <w:b/>
        </w:rPr>
        <w:t xml:space="preserve">Table 3. </w:t>
      </w:r>
      <w:r>
        <w:rPr/>
        <w:t>COLET activities and their role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D9D9D9"/>
          </w:tcPr>
          <w:p>
            <w:pPr>
              <w:spacing w:line="240" w:lineRule="auto" w:after="40"/>
              <w:ind w:firstLine="0"/>
            </w:pPr>
            <w:r>
              <w:rPr>
                <w:b/>
                <w:sz w:val="20"/>
              </w:rPr>
              <w:t>Activity</w:t>
            </w:r>
          </w:p>
        </w:tc>
        <w:tc>
          <w:tcPr>
            <w:tcW w:type="dxa" w:w="2880"/>
            <w:shd w:val="clear" w:color="auto" w:fill="D9D9D9"/>
          </w:tcPr>
          <w:p>
            <w:pPr>
              <w:spacing w:line="240" w:lineRule="auto" w:after="40"/>
              <w:ind w:firstLine="0"/>
            </w:pPr>
            <w:r>
              <w:rPr>
                <w:b/>
                <w:sz w:val="20"/>
              </w:rPr>
              <w:t>Condition</w:t>
            </w:r>
          </w:p>
        </w:tc>
        <w:tc>
          <w:tcPr>
            <w:tcW w:type="dxa" w:w="1584"/>
            <w:shd w:val="clear" w:color="auto" w:fill="D9D9D9"/>
          </w:tcPr>
          <w:p>
            <w:pPr>
              <w:spacing w:line="240" w:lineRule="auto" w:after="40"/>
              <w:ind w:firstLine="0"/>
            </w:pPr>
            <w:r>
              <w:rPr>
                <w:b/>
                <w:sz w:val="20"/>
              </w:rPr>
              <w:t>Median duration</w:t>
            </w:r>
          </w:p>
        </w:tc>
        <w:tc>
          <w:tcPr>
            <w:tcW w:type="dxa" w:w="1728"/>
            <w:shd w:val="clear" w:color="auto" w:fill="D9D9D9"/>
          </w:tcPr>
          <w:p>
            <w:pPr>
              <w:spacing w:line="240" w:lineRule="auto" w:after="40"/>
              <w:ind w:firstLine="0"/>
            </w:pPr>
            <w:r>
              <w:rPr>
                <w:b/>
                <w:sz w:val="20"/>
              </w:rPr>
              <w:t>Mean NASA-RTLX</w:t>
            </w:r>
          </w:p>
        </w:tc>
        <w:tc>
          <w:tcPr>
            <w:tcW w:type="dxa" w:w="2016"/>
            <w:shd w:val="clear" w:color="auto" w:fill="D9D9D9"/>
          </w:tcPr>
          <w:p>
            <w:pPr>
              <w:spacing w:line="240" w:lineRule="auto" w:after="40"/>
              <w:ind w:firstLine="0"/>
            </w:pPr>
            <w:r>
              <w:rPr>
                <w:b/>
                <w:sz w:val="20"/>
              </w:rPr>
              <w:t>Role</w:t>
            </w:r>
          </w:p>
        </w:tc>
      </w:tr>
      <w:tr>
        <w:tc>
          <w:tcPr>
            <w:tcW w:type="dxa" w:w="1152"/>
          </w:tcPr>
          <w:p>
            <w:pPr>
              <w:spacing w:line="240" w:lineRule="auto" w:after="40"/>
              <w:ind w:firstLine="0"/>
            </w:pPr>
            <w:r>
              <w:rPr>
                <w:sz w:val="20"/>
              </w:rPr>
              <w:t>A1</w:t>
            </w:r>
          </w:p>
        </w:tc>
        <w:tc>
          <w:tcPr>
            <w:tcW w:type="dxa" w:w="2880"/>
          </w:tcPr>
          <w:p>
            <w:pPr>
              <w:spacing w:line="240" w:lineRule="auto" w:after="40"/>
              <w:ind w:firstLine="0"/>
            </w:pPr>
            <w:r>
              <w:rPr>
                <w:sz w:val="20"/>
              </w:rPr>
              <w:t>Single task, no time pressure</w:t>
            </w:r>
          </w:p>
        </w:tc>
        <w:tc>
          <w:tcPr>
            <w:tcW w:type="dxa" w:w="1584"/>
          </w:tcPr>
          <w:p>
            <w:pPr>
              <w:spacing w:line="240" w:lineRule="auto" w:after="40"/>
              <w:ind w:firstLine="0"/>
            </w:pPr>
            <w:r>
              <w:rPr>
                <w:sz w:val="20"/>
              </w:rPr>
              <w:t>37 s</w:t>
            </w:r>
          </w:p>
        </w:tc>
        <w:tc>
          <w:tcPr>
            <w:tcW w:type="dxa" w:w="1728"/>
          </w:tcPr>
          <w:p>
            <w:pPr>
              <w:spacing w:line="240" w:lineRule="auto" w:after="40"/>
              <w:ind w:firstLine="0"/>
            </w:pPr>
            <w:r>
              <w:rPr>
                <w:sz w:val="20"/>
              </w:rPr>
              <w:t>19.4</w:t>
            </w:r>
          </w:p>
        </w:tc>
        <w:tc>
          <w:tcPr>
            <w:tcW w:type="dxa" w:w="2016"/>
          </w:tcPr>
          <w:p>
            <w:pPr>
              <w:spacing w:line="240" w:lineRule="auto" w:after="40"/>
              <w:ind w:firstLine="0"/>
            </w:pPr>
            <w:r>
              <w:rPr>
                <w:sz w:val="20"/>
              </w:rPr>
              <w:t>Low load</w:t>
            </w:r>
          </w:p>
        </w:tc>
      </w:tr>
      <w:tr>
        <w:tc>
          <w:tcPr>
            <w:tcW w:type="dxa" w:w="1152"/>
          </w:tcPr>
          <w:p>
            <w:pPr>
              <w:spacing w:line="240" w:lineRule="auto" w:after="40"/>
              <w:ind w:firstLine="0"/>
            </w:pPr>
            <w:r>
              <w:rPr>
                <w:sz w:val="20"/>
              </w:rPr>
              <w:t>A2</w:t>
            </w:r>
          </w:p>
        </w:tc>
        <w:tc>
          <w:tcPr>
            <w:tcW w:type="dxa" w:w="2880"/>
          </w:tcPr>
          <w:p>
            <w:pPr>
              <w:spacing w:line="240" w:lineRule="auto" w:after="40"/>
              <w:ind w:firstLine="0"/>
            </w:pPr>
            <w:r>
              <w:rPr>
                <w:sz w:val="20"/>
              </w:rPr>
              <w:t>Single task, time pressure</w:t>
            </w:r>
          </w:p>
        </w:tc>
        <w:tc>
          <w:tcPr>
            <w:tcW w:type="dxa" w:w="1584"/>
          </w:tcPr>
          <w:p>
            <w:pPr>
              <w:spacing w:line="240" w:lineRule="auto" w:after="40"/>
              <w:ind w:firstLine="0"/>
            </w:pPr>
            <w:r>
              <w:rPr>
                <w:sz w:val="20"/>
              </w:rPr>
              <w:t>29 s</w:t>
            </w:r>
          </w:p>
        </w:tc>
        <w:tc>
          <w:tcPr>
            <w:tcW w:type="dxa" w:w="1728"/>
          </w:tcPr>
          <w:p>
            <w:pPr>
              <w:spacing w:line="240" w:lineRule="auto" w:after="40"/>
              <w:ind w:firstLine="0"/>
            </w:pPr>
            <w:r>
              <w:rPr>
                <w:sz w:val="20"/>
              </w:rPr>
              <w:t>28.7</w:t>
            </w:r>
          </w:p>
        </w:tc>
        <w:tc>
          <w:tcPr>
            <w:tcW w:type="dxa" w:w="2016"/>
          </w:tcPr>
          <w:p>
            <w:pPr>
              <w:spacing w:line="240" w:lineRule="auto" w:after="40"/>
              <w:ind w:firstLine="0"/>
            </w:pPr>
            <w:r>
              <w:rPr>
                <w:sz w:val="20"/>
              </w:rPr>
              <w:t>Manipulation check only</w:t>
            </w:r>
          </w:p>
        </w:tc>
      </w:tr>
      <w:tr>
        <w:tc>
          <w:tcPr>
            <w:tcW w:type="dxa" w:w="1152"/>
          </w:tcPr>
          <w:p>
            <w:pPr>
              <w:spacing w:line="240" w:lineRule="auto" w:after="40"/>
              <w:ind w:firstLine="0"/>
            </w:pPr>
            <w:r>
              <w:rPr>
                <w:sz w:val="20"/>
              </w:rPr>
              <w:t>A3</w:t>
            </w:r>
          </w:p>
        </w:tc>
        <w:tc>
          <w:tcPr>
            <w:tcW w:type="dxa" w:w="2880"/>
          </w:tcPr>
          <w:p>
            <w:pPr>
              <w:spacing w:line="240" w:lineRule="auto" w:after="40"/>
              <w:ind w:firstLine="0"/>
            </w:pPr>
            <w:r>
              <w:rPr>
                <w:sz w:val="20"/>
              </w:rPr>
              <w:t>Multitask, no time pressure</w:t>
            </w:r>
          </w:p>
        </w:tc>
        <w:tc>
          <w:tcPr>
            <w:tcW w:type="dxa" w:w="1584"/>
          </w:tcPr>
          <w:p>
            <w:pPr>
              <w:spacing w:line="240" w:lineRule="auto" w:after="40"/>
              <w:ind w:firstLine="0"/>
            </w:pPr>
            <w:r>
              <w:rPr>
                <w:sz w:val="20"/>
              </w:rPr>
              <w:t>62 s</w:t>
            </w:r>
          </w:p>
        </w:tc>
        <w:tc>
          <w:tcPr>
            <w:tcW w:type="dxa" w:w="1728"/>
          </w:tcPr>
          <w:p>
            <w:pPr>
              <w:spacing w:line="240" w:lineRule="auto" w:after="40"/>
              <w:ind w:firstLine="0"/>
            </w:pPr>
            <w:r>
              <w:rPr>
                <w:sz w:val="20"/>
              </w:rPr>
              <w:t>45.0</w:t>
            </w:r>
          </w:p>
        </w:tc>
        <w:tc>
          <w:tcPr>
            <w:tcW w:type="dxa" w:w="2016"/>
          </w:tcPr>
          <w:p>
            <w:pPr>
              <w:spacing w:line="240" w:lineRule="auto" w:after="40"/>
              <w:ind w:firstLine="0"/>
            </w:pPr>
            <w:r>
              <w:rPr>
                <w:sz w:val="20"/>
              </w:rPr>
              <w:t>Manipulation check only</w:t>
            </w:r>
          </w:p>
        </w:tc>
      </w:tr>
      <w:tr>
        <w:tc>
          <w:tcPr>
            <w:tcW w:type="dxa" w:w="1152"/>
          </w:tcPr>
          <w:p>
            <w:pPr>
              <w:spacing w:line="240" w:lineRule="auto" w:after="40"/>
              <w:ind w:firstLine="0"/>
            </w:pPr>
            <w:r>
              <w:rPr>
                <w:sz w:val="20"/>
              </w:rPr>
              <w:t>A4</w:t>
            </w:r>
          </w:p>
        </w:tc>
        <w:tc>
          <w:tcPr>
            <w:tcW w:type="dxa" w:w="2880"/>
          </w:tcPr>
          <w:p>
            <w:pPr>
              <w:spacing w:line="240" w:lineRule="auto" w:after="40"/>
              <w:ind w:firstLine="0"/>
            </w:pPr>
            <w:r>
              <w:rPr>
                <w:sz w:val="20"/>
              </w:rPr>
              <w:t>Multitask, time pressure</w:t>
            </w:r>
          </w:p>
        </w:tc>
        <w:tc>
          <w:tcPr>
            <w:tcW w:type="dxa" w:w="1584"/>
          </w:tcPr>
          <w:p>
            <w:pPr>
              <w:spacing w:line="240" w:lineRule="auto" w:after="40"/>
              <w:ind w:firstLine="0"/>
            </w:pPr>
            <w:r>
              <w:rPr>
                <w:sz w:val="20"/>
              </w:rPr>
              <w:t>51 s</w:t>
            </w:r>
          </w:p>
        </w:tc>
        <w:tc>
          <w:tcPr>
            <w:tcW w:type="dxa" w:w="1728"/>
          </w:tcPr>
          <w:p>
            <w:pPr>
              <w:spacing w:line="240" w:lineRule="auto" w:after="40"/>
              <w:ind w:firstLine="0"/>
            </w:pPr>
            <w:r>
              <w:rPr>
                <w:sz w:val="20"/>
              </w:rPr>
              <w:t>51.9</w:t>
            </w:r>
          </w:p>
        </w:tc>
        <w:tc>
          <w:tcPr>
            <w:tcW w:type="dxa" w:w="2016"/>
          </w:tcPr>
          <w:p>
            <w:pPr>
              <w:spacing w:line="240" w:lineRule="auto" w:after="40"/>
              <w:ind w:firstLine="0"/>
            </w:pPr>
            <w:r>
              <w:rPr>
                <w:sz w:val="20"/>
              </w:rPr>
              <w:t>High load</w:t>
            </w:r>
          </w:p>
        </w:tc>
      </w:tr>
    </w:tbl>
    <w:p>
      <w:pPr>
        <w:spacing w:after="120"/>
      </w:pPr>
    </w:p>
    <w:p>
      <w:pPr>
        <w:pStyle w:val="Heading2"/>
        <w:jc w:val="left"/>
      </w:pPr>
      <w:r>
        <w:t>DATA PREPROCESSING</w:t>
      </w:r>
    </w:p>
    <w:p>
      <w:pPr>
        <w:ind w:firstLine="720"/>
        <w:jc w:val="both"/>
      </w:pPr>
      <w:r>
        <w:rPr/>
        <w:t>COLET provides raw tracker data, so the signals must be cleaned before features can be computed. The preprocessing has four stages (Figure 3): removing bad data, cleaning each signal, detecting fixations and saccades, and computing features. Table 4 lists each step and its source.</w:t>
      </w:r>
    </w:p>
    <w:p>
      <w:pPr>
        <w:keepNext/>
        <w:spacing w:after="120"/>
        <w:jc w:val="center"/>
      </w:pPr>
      <w:r>
        <w:drawing>
          <wp:inline xmlns:a="http://schemas.openxmlformats.org/drawingml/2006/main" xmlns:pic="http://schemas.openxmlformats.org/drawingml/2006/picture">
            <wp:extent cx="4206240" cy="4823940"/>
            <wp:docPr id="3" name="Picture 3"/>
            <wp:cNvGraphicFramePr>
              <a:graphicFrameLocks noChangeAspect="1"/>
            </wp:cNvGraphicFramePr>
            <a:graphic>
              <a:graphicData uri="http://schemas.openxmlformats.org/drawingml/2006/picture">
                <pic:pic>
                  <pic:nvPicPr>
                    <pic:cNvPr id="0" name="fig2_preprocessing.png"/>
                    <pic:cNvPicPr/>
                  </pic:nvPicPr>
                  <pic:blipFill>
                    <a:blip r:embed="rId11"/>
                    <a:stretch>
                      <a:fillRect/>
                    </a:stretch>
                  </pic:blipFill>
                  <pic:spPr>
                    <a:xfrm>
                      <a:off x="0" y="0"/>
                      <a:ext cx="4206240" cy="4823940"/>
                    </a:xfrm>
                    <a:prstGeom prst="rect"/>
                  </pic:spPr>
                </pic:pic>
              </a:graphicData>
            </a:graphic>
          </wp:inline>
        </w:drawing>
      </w:r>
    </w:p>
    <w:p>
      <w:pPr>
        <w:keepNext w:val="0"/>
        <w:spacing w:after="240"/>
        <w:jc w:val="center"/>
      </w:pPr>
      <w:r>
        <w:rPr>
          <w:b/>
        </w:rPr>
        <w:t xml:space="preserve">Figure 3. </w:t>
      </w:r>
      <w:r>
        <w:rPr/>
        <w:t>Preprocessing stages.</w:t>
      </w:r>
    </w:p>
    <w:p>
      <w:pPr>
        <w:keepNext/>
        <w:spacing w:after="120"/>
        <w:jc w:val="left"/>
      </w:pPr>
      <w:r>
        <w:rPr>
          <w:b/>
        </w:rPr>
        <w:t xml:space="preserve">Table 4. </w:t>
      </w:r>
      <w:r>
        <w:rPr/>
        <w:t>Preprocessing steps.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18"/>
              </w:rPr>
              <w:t>Step</w:t>
            </w:r>
          </w:p>
        </w:tc>
        <w:tc>
          <w:tcPr>
            <w:tcW w:type="dxa" w:w="5472"/>
            <w:shd w:val="clear" w:color="auto" w:fill="D9D9D9"/>
          </w:tcPr>
          <w:p>
            <w:pPr>
              <w:spacing w:line="240" w:lineRule="auto" w:after="40"/>
              <w:ind w:firstLine="0"/>
            </w:pPr>
            <w:r>
              <w:rPr>
                <w:b/>
                <w:sz w:val="18"/>
              </w:rPr>
              <w:t>Procedure</w:t>
            </w:r>
          </w:p>
        </w:tc>
        <w:tc>
          <w:tcPr>
            <w:tcW w:type="dxa" w:w="2016"/>
            <w:shd w:val="clear" w:color="auto" w:fill="D9D9D9"/>
          </w:tcPr>
          <w:p>
            <w:pPr>
              <w:spacing w:line="240" w:lineRule="auto" w:after="40"/>
              <w:ind w:firstLine="0"/>
            </w:pPr>
            <w:r>
              <w:rPr>
                <w:b/>
                <w:sz w:val="18"/>
              </w:rPr>
              <w:t>Source</w:t>
            </w:r>
          </w:p>
        </w:tc>
      </w:tr>
      <w:tr>
        <w:tc>
          <w:tcPr>
            <w:tcW w:type="dxa" w:w="1872"/>
          </w:tcPr>
          <w:p>
            <w:pPr>
              <w:spacing w:line="240" w:lineRule="auto" w:after="40"/>
              <w:ind w:firstLine="0"/>
            </w:pPr>
            <w:r>
              <w:rPr>
                <w:sz w:val="18"/>
              </w:rPr>
              <w:t>Time alignment</w:t>
            </w:r>
          </w:p>
        </w:tc>
        <w:tc>
          <w:tcPr>
            <w:tcW w:type="dxa" w:w="5472"/>
          </w:tcPr>
          <w:p>
            <w:pPr>
              <w:spacing w:line="240" w:lineRule="auto" w:after="40"/>
              <w:ind w:firstLine="0"/>
            </w:pPr>
            <w:r>
              <w:rPr>
                <w:sz w:val="18"/>
              </w:rPr>
              <w:t>Pupil and blink data trimmed to each recording’s gaze time range (stray samples found in one participant)</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Sample validity</w:t>
            </w:r>
          </w:p>
        </w:tc>
        <w:tc>
          <w:tcPr>
            <w:tcW w:type="dxa" w:w="5472"/>
          </w:tcPr>
          <w:p>
            <w:pPr>
              <w:spacing w:line="240" w:lineRule="auto" w:after="40"/>
              <w:ind w:firstLine="0"/>
            </w:pPr>
            <w:r>
              <w:rPr>
                <w:sz w:val="18"/>
              </w:rPr>
              <w:t>Samples with tracker confidence below 0.8 treated as invalid</w:t>
            </w:r>
          </w:p>
        </w:tc>
        <w:tc>
          <w:tcPr>
            <w:tcW w:type="dxa" w:w="2016"/>
          </w:tcPr>
          <w:p>
            <w:pPr>
              <w:spacing w:line="240" w:lineRule="auto" w:after="40"/>
              <w:ind w:firstLine="0"/>
            </w:pPr>
            <w:r>
              <w:rPr>
                <w:sz w:val="18"/>
              </w:rPr>
              <w:t>[28], [65]</w:t>
            </w:r>
          </w:p>
        </w:tc>
      </w:tr>
      <w:tr>
        <w:tc>
          <w:tcPr>
            <w:tcW w:type="dxa" w:w="1872"/>
          </w:tcPr>
          <w:p>
            <w:pPr>
              <w:spacing w:line="240" w:lineRule="auto" w:after="40"/>
              <w:ind w:firstLine="0"/>
            </w:pPr>
            <w:r>
              <w:rPr>
                <w:sz w:val="18"/>
              </w:rPr>
              <w:t>Recording exclusion</w:t>
            </w:r>
          </w:p>
        </w:tc>
        <w:tc>
          <w:tcPr>
            <w:tcW w:type="dxa" w:w="5472"/>
          </w:tcPr>
          <w:p>
            <w:pPr>
              <w:spacing w:line="240" w:lineRule="auto" w:after="40"/>
              <w:ind w:firstLine="0"/>
            </w:pPr>
            <w:r>
              <w:rPr>
                <w:sz w:val="18"/>
              </w:rPr>
              <w:t>Recordings with more than 35% invalid samples excluded; participants missing A1 or A4 dropped (P06, P17)</w:t>
            </w:r>
          </w:p>
        </w:tc>
        <w:tc>
          <w:tcPr>
            <w:tcW w:type="dxa" w:w="2016"/>
          </w:tcPr>
          <w:p>
            <w:pPr>
              <w:spacing w:line="240" w:lineRule="auto" w:after="40"/>
              <w:ind w:firstLine="0"/>
            </w:pPr>
            <w:r>
              <w:rPr>
                <w:sz w:val="18"/>
              </w:rPr>
              <w:t>[66]</w:t>
            </w:r>
          </w:p>
        </w:tc>
      </w:tr>
      <w:tr>
        <w:tc>
          <w:tcPr>
            <w:tcW w:type="dxa" w:w="1872"/>
          </w:tcPr>
          <w:p>
            <w:pPr>
              <w:spacing w:line="240" w:lineRule="auto" w:after="40"/>
              <w:ind w:firstLine="0"/>
            </w:pPr>
            <w:r>
              <w:rPr>
                <w:sz w:val="18"/>
              </w:rPr>
              <w:t>Valid time</w:t>
            </w:r>
          </w:p>
        </w:tc>
        <w:tc>
          <w:tcPr>
            <w:tcW w:type="dxa" w:w="5472"/>
          </w:tcPr>
          <w:p>
            <w:pPr>
              <w:spacing w:line="240" w:lineRule="auto" w:after="40"/>
              <w:ind w:firstLine="0"/>
            </w:pPr>
            <w:r>
              <w:rPr>
                <w:sz w:val="18"/>
              </w:rPr>
              <w:t>Rates computed over valid recording time, excluding gaps longer than 1 s</w:t>
            </w:r>
          </w:p>
        </w:tc>
        <w:tc>
          <w:tcPr>
            <w:tcW w:type="dxa" w:w="2016"/>
          </w:tcPr>
          <w:p>
            <w:pPr>
              <w:spacing w:line="240" w:lineRule="auto" w:after="40"/>
              <w:ind w:firstLine="0"/>
            </w:pPr>
            <w:r>
              <w:rPr>
                <w:sz w:val="18"/>
              </w:rPr>
              <w:t>Data check</w:t>
            </w:r>
          </w:p>
        </w:tc>
      </w:tr>
      <w:tr>
        <w:tc>
          <w:tcPr>
            <w:tcW w:type="dxa" w:w="1872"/>
          </w:tcPr>
          <w:p>
            <w:pPr>
              <w:spacing w:line="240" w:lineRule="auto" w:after="40"/>
              <w:ind w:firstLine="0"/>
            </w:pPr>
            <w:r>
              <w:rPr>
                <w:sz w:val="18"/>
              </w:rPr>
              <w:t>Blinks</w:t>
            </w:r>
          </w:p>
        </w:tc>
        <w:tc>
          <w:tcPr>
            <w:tcW w:type="dxa" w:w="5472"/>
          </w:tcPr>
          <w:p>
            <w:pPr>
              <w:spacing w:line="240" w:lineRule="auto" w:after="40"/>
              <w:ind w:firstLine="0"/>
            </w:pPr>
            <w:r>
              <w:rPr>
                <w:sz w:val="18"/>
              </w:rPr>
              <w:t>Tracker blink events kept if 50–500 ms; blinks less than 100 ms apart merged; blink periods treated as missing</w:t>
            </w:r>
          </w:p>
        </w:tc>
        <w:tc>
          <w:tcPr>
            <w:tcW w:type="dxa" w:w="2016"/>
          </w:tcPr>
          <w:p>
            <w:pPr>
              <w:spacing w:line="240" w:lineRule="auto" w:after="40"/>
              <w:ind w:firstLine="0"/>
            </w:pPr>
            <w:r>
              <w:rPr>
                <w:sz w:val="18"/>
              </w:rPr>
              <w:t>[67], [68]</w:t>
            </w:r>
          </w:p>
        </w:tc>
      </w:tr>
      <w:tr>
        <w:tc>
          <w:tcPr>
            <w:tcW w:type="dxa" w:w="1872"/>
          </w:tcPr>
          <w:p>
            <w:pPr>
              <w:spacing w:line="240" w:lineRule="auto" w:after="40"/>
              <w:ind w:firstLine="0"/>
            </w:pPr>
            <w:r>
              <w:rPr>
                <w:sz w:val="18"/>
              </w:rPr>
              <w:t>Gaze gaps</w:t>
            </w:r>
          </w:p>
        </w:tc>
        <w:tc>
          <w:tcPr>
            <w:tcW w:type="dxa" w:w="5472"/>
          </w:tcPr>
          <w:p>
            <w:pPr>
              <w:spacing w:line="240" w:lineRule="auto" w:after="40"/>
              <w:ind w:firstLine="0"/>
            </w:pPr>
            <w:r>
              <w:rPr>
                <w:sz w:val="18"/>
              </w:rPr>
              <w:t>Gaps shorter than 75 ms linearly interpolated; longer gaps left missing</w:t>
            </w:r>
          </w:p>
        </w:tc>
        <w:tc>
          <w:tcPr>
            <w:tcW w:type="dxa" w:w="2016"/>
          </w:tcPr>
          <w:p>
            <w:pPr>
              <w:spacing w:line="240" w:lineRule="auto" w:after="40"/>
              <w:ind w:firstLine="0"/>
            </w:pPr>
            <w:r>
              <w:rPr>
                <w:sz w:val="18"/>
              </w:rPr>
              <w:t>[28]</w:t>
            </w:r>
          </w:p>
        </w:tc>
      </w:tr>
      <w:tr>
        <w:tc>
          <w:tcPr>
            <w:tcW w:type="dxa" w:w="1872"/>
          </w:tcPr>
          <w:p>
            <w:pPr>
              <w:spacing w:line="240" w:lineRule="auto" w:after="40"/>
              <w:ind w:firstLine="0"/>
            </w:pPr>
            <w:r>
              <w:rPr>
                <w:sz w:val="18"/>
              </w:rPr>
              <w:t>Pupil</w:t>
            </w:r>
          </w:p>
        </w:tc>
        <w:tc>
          <w:tcPr>
            <w:tcW w:type="dxa" w:w="5472"/>
          </w:tcPr>
          <w:p>
            <w:pPr>
              <w:spacing w:line="240" w:lineRule="auto" w:after="40"/>
              <w:ind w:firstLine="0"/>
            </w:pPr>
            <w:r>
              <w:rPr>
                <w:sz w:val="18"/>
              </w:rPr>
              <w:t>3D-model diameter in mm; 1.5–9 mm range; speed-based outlier removal; both eyes averaged; gaps up to 250 ms filled; 4 Hz low-pass filter; model refits counted</w:t>
            </w:r>
          </w:p>
        </w:tc>
        <w:tc>
          <w:tcPr>
            <w:tcW w:type="dxa" w:w="2016"/>
          </w:tcPr>
          <w:p>
            <w:pPr>
              <w:spacing w:line="240" w:lineRule="auto" w:after="40"/>
              <w:ind w:firstLine="0"/>
            </w:pPr>
            <w:r>
              <w:rPr>
                <w:sz w:val="18"/>
              </w:rPr>
              <w:t>[27], [69], [68]</w:t>
            </w:r>
          </w:p>
        </w:tc>
      </w:tr>
      <w:tr>
        <w:tc>
          <w:tcPr>
            <w:tcW w:type="dxa" w:w="1872"/>
          </w:tcPr>
          <w:p>
            <w:pPr>
              <w:spacing w:line="240" w:lineRule="auto" w:after="40"/>
              <w:ind w:firstLine="0"/>
            </w:pPr>
            <w:r>
              <w:rPr>
                <w:sz w:val="18"/>
              </w:rPr>
              <w:t>Gaze direction</w:t>
            </w:r>
          </w:p>
        </w:tc>
        <w:tc>
          <w:tcPr>
            <w:tcW w:type="dxa" w:w="5472"/>
          </w:tcPr>
          <w:p>
            <w:pPr>
              <w:spacing w:line="240" w:lineRule="auto" w:after="40"/>
              <w:ind w:firstLine="0"/>
            </w:pPr>
            <w:r>
              <w:rPr>
                <w:sz w:val="18"/>
              </w:rPr>
              <w:t>Each eye’s gaze direction vector, averaged across the two eyes; angle between consecutive directions in degrees</w:t>
            </w:r>
          </w:p>
        </w:tc>
        <w:tc>
          <w:tcPr>
            <w:tcW w:type="dxa" w:w="2016"/>
          </w:tcPr>
          <w:p>
            <w:pPr>
              <w:spacing w:line="240" w:lineRule="auto" w:after="40"/>
              <w:ind w:firstLine="0"/>
            </w:pPr>
            <w:r>
              <w:rPr>
                <w:sz w:val="18"/>
              </w:rPr>
              <w:t>[70], [71], [72]</w:t>
            </w:r>
          </w:p>
        </w:tc>
      </w:tr>
      <w:tr>
        <w:tc>
          <w:tcPr>
            <w:tcW w:type="dxa" w:w="1872"/>
          </w:tcPr>
          <w:p>
            <w:pPr>
              <w:spacing w:line="240" w:lineRule="auto" w:after="40"/>
              <w:ind w:firstLine="0"/>
            </w:pPr>
            <w:r>
              <w:rPr>
                <w:sz w:val="18"/>
              </w:rPr>
              <w:t>Quality report</w:t>
            </w:r>
          </w:p>
        </w:tc>
        <w:tc>
          <w:tcPr>
            <w:tcW w:type="dxa" w:w="5472"/>
          </w:tcPr>
          <w:p>
            <w:pPr>
              <w:spacing w:line="240" w:lineRule="auto" w:after="40"/>
              <w:ind w:firstLine="0"/>
            </w:pPr>
            <w:r>
              <w:rPr>
                <w:sz w:val="18"/>
              </w:rPr>
              <w:t>Share of valid samples reported per recording and condition; never used as a feature</w:t>
            </w:r>
          </w:p>
        </w:tc>
        <w:tc>
          <w:tcPr>
            <w:tcW w:type="dxa" w:w="2016"/>
          </w:tcPr>
          <w:p>
            <w:pPr>
              <w:spacing w:line="240" w:lineRule="auto" w:after="40"/>
              <w:ind w:firstLine="0"/>
            </w:pPr>
            <w:r>
              <w:rPr>
                <w:sz w:val="18"/>
              </w:rPr>
              <w:t>[28]</w:t>
            </w:r>
          </w:p>
        </w:tc>
      </w:tr>
    </w:tbl>
    <w:p>
      <w:pPr>
        <w:spacing w:after="120"/>
      </w:pPr>
    </w:p>
    <w:p>
      <w:pPr>
        <w:ind w:firstLine="720"/>
        <w:jc w:val="both"/>
      </w:pPr>
      <w:r>
        <w:rPr/>
        <w:t>Recording exclusion removed three of 188 recordings (P06 A3, P06 A4 and P17 A4). Because P06 and P17 lack a valid A1–A4 pair, they are dropped, leaving 45 participants and 90 balanced samples.</w:t>
      </w:r>
    </w:p>
    <w:p>
      <w:pPr>
        <w:ind w:firstLine="720"/>
        <w:jc w:val="both"/>
      </w:pPr>
      <w:r>
        <w:rPr/>
        <w:t xml:space="preserve">Gaze angles are computed from each eye’s own gaze direction rather than from the tracker’s combined 3D gaze point. The 3D gaze point depends on an estimate of viewing distance from the angle between the two eyes, and such estimates are unreliable at typical screen distances [70] and with Pupil Core in particular [71]. In COLET this estimate was implausible: the median estimated distance was about 113 mm against a true viewing distance of 800 mm, and some samples were placed behind the camera. Eye speed is therefore computed from the angle between consecutive gaze direction vectors [72], averaged across the two eyes. </w:t>
      </w:r>
      <w:r>
        <w:rPr>
          <w:highlight w:val="yellow"/>
        </w:rPr>
        <w:t>[Pending team confirmation: samples with only one valid eye are treated as missing, because each eye’s direction alone is biased by about 10°.]</w:t>
      </w:r>
    </w:p>
    <w:p>
      <w:pPr>
        <w:pStyle w:val="Heading2"/>
        <w:jc w:val="left"/>
      </w:pPr>
      <w:r>
        <w:t>FIXATION AND SACCADE DETECTION</w:t>
      </w:r>
    </w:p>
    <w:p>
      <w:pPr>
        <w:ind w:firstLine="720"/>
        <w:jc w:val="both"/>
      </w:pPr>
      <w:r>
        <w:rPr/>
        <w:t>Fixations and saccades are detected using the procedure cited by the COLET authors [17]. Eye velocity is computed with a five-tap smoothing filter [73], velocities above 1000°/s are rejected as artifacts [74], and samples are classified with the velocity-threshold algorithm at 45°/s [29], [41]. Fixations shorter than 55 ms are discarded [17], [75].</w:t>
      </w:r>
    </w:p>
    <w:p>
      <w:pPr>
        <w:ind w:firstLine="720"/>
        <w:jc w:val="both"/>
      </w:pPr>
      <w:r>
        <w:rPr/>
        <w:t>Because detection results depend on the algorithm and its settings [42], [41], a sanity check is applied to each activity separately before the features are used: the median fixation duration must lie between 150 and 400 ms, and the ratio of saccades to fixations must lie between 0.8 and 1.25. If either condition fails in any activity, the main analysis uses only the five features that do not depend on event detection (pupil mean, pupil standard deviation, blink rate and gaze dispersion in both directions), following the use of feature subsets in prior work [15]. The tolerance of 0.8–1.25 is the researchers’ own choice.</w:t>
      </w:r>
    </w:p>
    <w:p>
      <w:pPr>
        <w:pStyle w:val="Heading2"/>
        <w:jc w:val="left"/>
      </w:pPr>
      <w:r>
        <w:t>FEATURE EXTRACTION</w:t>
      </w:r>
    </w:p>
    <w:p>
      <w:pPr>
        <w:ind w:firstLine="720"/>
        <w:jc w:val="both"/>
      </w:pPr>
      <w:r>
        <w:rPr/>
        <w:t>Ten features are computed for each whole activity (Table 5). Rates are expressed per unit of valid time. The feature set is fixed in advance and is the same in every fold, which keeps feature importance comparable across folds.</w:t>
      </w:r>
    </w:p>
    <w:p>
      <w:pPr>
        <w:keepNext/>
        <w:spacing w:after="120"/>
        <w:jc w:val="left"/>
      </w:pPr>
      <w:r>
        <w:rPr>
          <w:b/>
        </w:rPr>
        <w:t xml:space="preserve">Table 5. </w:t>
      </w:r>
      <w:r>
        <w:rPr/>
        <w:t>Eye-tracking features.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D9D9"/>
          </w:tcPr>
          <w:p>
            <w:pPr>
              <w:spacing w:line="240" w:lineRule="auto" w:after="40"/>
              <w:ind w:firstLine="0"/>
            </w:pPr>
            <w:r>
              <w:rPr>
                <w:b/>
                <w:sz w:val="20"/>
              </w:rPr>
              <w:t>Group</w:t>
            </w:r>
          </w:p>
        </w:tc>
        <w:tc>
          <w:tcPr>
            <w:tcW w:type="dxa" w:w="4752"/>
            <w:shd w:val="clear" w:color="auto" w:fill="D9D9D9"/>
          </w:tcPr>
          <w:p>
            <w:pPr>
              <w:spacing w:line="240" w:lineRule="auto" w:after="40"/>
              <w:ind w:firstLine="0"/>
            </w:pPr>
            <w:r>
              <w:rPr>
                <w:b/>
                <w:sz w:val="20"/>
              </w:rPr>
              <w:t>Feature</w:t>
            </w:r>
          </w:p>
        </w:tc>
        <w:tc>
          <w:tcPr>
            <w:tcW w:type="dxa" w:w="2736"/>
            <w:shd w:val="clear" w:color="auto" w:fill="D9D9D9"/>
          </w:tcPr>
          <w:p>
            <w:pPr>
              <w:spacing w:line="240" w:lineRule="auto" w:after="40"/>
              <w:ind w:firstLine="0"/>
            </w:pPr>
            <w:r>
              <w:rPr>
                <w:b/>
                <w:sz w:val="20"/>
              </w:rPr>
              <w:t>Support</w:t>
            </w:r>
          </w:p>
        </w:tc>
      </w:tr>
      <w:tr>
        <w:tc>
          <w:tcPr>
            <w:tcW w:type="dxa" w:w="1872"/>
          </w:tcPr>
          <w:p>
            <w:pPr>
              <w:spacing w:line="240" w:lineRule="auto" w:after="40"/>
              <w:ind w:firstLine="0"/>
            </w:pPr>
            <w:r>
              <w:rPr>
                <w:sz w:val="20"/>
              </w:rPr>
              <w:t>Pupil</w:t>
            </w:r>
          </w:p>
        </w:tc>
        <w:tc>
          <w:tcPr>
            <w:tcW w:type="dxa" w:w="4752"/>
          </w:tcPr>
          <w:p>
            <w:pPr>
              <w:spacing w:line="240" w:lineRule="auto" w:after="40"/>
              <w:ind w:firstLine="0"/>
            </w:pPr>
            <w:r>
              <w:rPr>
                <w:sz w:val="20"/>
              </w:rPr>
              <w:t>Pupil diameter mean; pupil diameter standard deviation</w:t>
            </w:r>
          </w:p>
        </w:tc>
        <w:tc>
          <w:tcPr>
            <w:tcW w:type="dxa" w:w="2736"/>
          </w:tcPr>
          <w:p>
            <w:pPr>
              <w:spacing w:line="240" w:lineRule="auto" w:after="40"/>
              <w:ind w:firstLine="0"/>
            </w:pPr>
            <w:r>
              <w:rPr>
                <w:sz w:val="20"/>
              </w:rPr>
              <w:t>[5], [33], [17]</w:t>
            </w:r>
          </w:p>
        </w:tc>
      </w:tr>
      <w:tr>
        <w:tc>
          <w:tcPr>
            <w:tcW w:type="dxa" w:w="1872"/>
          </w:tcPr>
          <w:p>
            <w:pPr>
              <w:spacing w:line="240" w:lineRule="auto" w:after="40"/>
              <w:ind w:firstLine="0"/>
            </w:pPr>
            <w:r>
              <w:rPr>
                <w:sz w:val="20"/>
              </w:rPr>
              <w:t>Blink</w:t>
            </w:r>
          </w:p>
        </w:tc>
        <w:tc>
          <w:tcPr>
            <w:tcW w:type="dxa" w:w="4752"/>
          </w:tcPr>
          <w:p>
            <w:pPr>
              <w:spacing w:line="240" w:lineRule="auto" w:after="40"/>
              <w:ind w:firstLine="0"/>
            </w:pPr>
            <w:r>
              <w:rPr>
                <w:sz w:val="20"/>
              </w:rPr>
              <w:t>Blink rate (per minute)</w:t>
            </w:r>
          </w:p>
        </w:tc>
        <w:tc>
          <w:tcPr>
            <w:tcW w:type="dxa" w:w="2736"/>
          </w:tcPr>
          <w:p>
            <w:pPr>
              <w:spacing w:line="240" w:lineRule="auto" w:after="40"/>
              <w:ind w:firstLine="0"/>
            </w:pPr>
            <w:r>
              <w:rPr>
                <w:sz w:val="20"/>
              </w:rPr>
              <w:t>[5], [34]</w:t>
            </w:r>
          </w:p>
        </w:tc>
      </w:tr>
      <w:tr>
        <w:tc>
          <w:tcPr>
            <w:tcW w:type="dxa" w:w="1872"/>
          </w:tcPr>
          <w:p>
            <w:pPr>
              <w:spacing w:line="240" w:lineRule="auto" w:after="40"/>
              <w:ind w:firstLine="0"/>
            </w:pPr>
            <w:r>
              <w:rPr>
                <w:sz w:val="20"/>
              </w:rPr>
              <w:t>Fixation</w:t>
            </w:r>
          </w:p>
        </w:tc>
        <w:tc>
          <w:tcPr>
            <w:tcW w:type="dxa" w:w="4752"/>
          </w:tcPr>
          <w:p>
            <w:pPr>
              <w:spacing w:line="240" w:lineRule="auto" w:after="40"/>
              <w:ind w:firstLine="0"/>
            </w:pPr>
            <w:r>
              <w:rPr>
                <w:sz w:val="20"/>
              </w:rPr>
              <w:t>Fixation rate; mean fixation duration</w:t>
            </w:r>
          </w:p>
        </w:tc>
        <w:tc>
          <w:tcPr>
            <w:tcW w:type="dxa" w:w="2736"/>
          </w:tcPr>
          <w:p>
            <w:pPr>
              <w:spacing w:line="240" w:lineRule="auto" w:after="40"/>
              <w:ind w:firstLine="0"/>
            </w:pPr>
            <w:r>
              <w:rPr>
                <w:sz w:val="20"/>
              </w:rPr>
              <w:t>[5], [38]</w:t>
            </w:r>
          </w:p>
        </w:tc>
      </w:tr>
      <w:tr>
        <w:tc>
          <w:tcPr>
            <w:tcW w:type="dxa" w:w="1872"/>
          </w:tcPr>
          <w:p>
            <w:pPr>
              <w:spacing w:line="240" w:lineRule="auto" w:after="40"/>
              <w:ind w:firstLine="0"/>
            </w:pPr>
            <w:r>
              <w:rPr>
                <w:sz w:val="20"/>
              </w:rPr>
              <w:t>Saccade</w:t>
            </w:r>
          </w:p>
        </w:tc>
        <w:tc>
          <w:tcPr>
            <w:tcW w:type="dxa" w:w="4752"/>
          </w:tcPr>
          <w:p>
            <w:pPr>
              <w:spacing w:line="240" w:lineRule="auto" w:after="40"/>
              <w:ind w:firstLine="0"/>
            </w:pPr>
            <w:r>
              <w:rPr>
                <w:sz w:val="20"/>
              </w:rPr>
              <w:t>Saccade rate; mean saccade amplitude; mean saccade peak velocity</w:t>
            </w:r>
          </w:p>
        </w:tc>
        <w:tc>
          <w:tcPr>
            <w:tcW w:type="dxa" w:w="2736"/>
          </w:tcPr>
          <w:p>
            <w:pPr>
              <w:spacing w:line="240" w:lineRule="auto" w:after="40"/>
              <w:ind w:firstLine="0"/>
            </w:pPr>
            <w:r>
              <w:rPr>
                <w:sz w:val="20"/>
              </w:rPr>
              <w:t>[5], [35], [36]</w:t>
            </w:r>
          </w:p>
        </w:tc>
      </w:tr>
      <w:tr>
        <w:tc>
          <w:tcPr>
            <w:tcW w:type="dxa" w:w="1872"/>
          </w:tcPr>
          <w:p>
            <w:pPr>
              <w:spacing w:line="240" w:lineRule="auto" w:after="40"/>
              <w:ind w:firstLine="0"/>
            </w:pPr>
            <w:r>
              <w:rPr>
                <w:sz w:val="20"/>
              </w:rPr>
              <w:t>Gaze dispersion</w:t>
            </w:r>
          </w:p>
        </w:tc>
        <w:tc>
          <w:tcPr>
            <w:tcW w:type="dxa" w:w="4752"/>
          </w:tcPr>
          <w:p>
            <w:pPr>
              <w:spacing w:line="240" w:lineRule="auto" w:after="40"/>
              <w:ind w:firstLine="0"/>
            </w:pPr>
            <w:r>
              <w:rPr>
                <w:sz w:val="20"/>
              </w:rPr>
              <w:t>Standard deviation of gaze angle, horizontal and vertical</w:t>
            </w:r>
          </w:p>
        </w:tc>
        <w:tc>
          <w:tcPr>
            <w:tcW w:type="dxa" w:w="2736"/>
          </w:tcPr>
          <w:p>
            <w:pPr>
              <w:spacing w:line="240" w:lineRule="auto" w:after="40"/>
              <w:ind w:firstLine="0"/>
            </w:pPr>
            <w:r>
              <w:rPr>
                <w:sz w:val="20"/>
              </w:rPr>
              <w:t>[15], [39]</w:t>
            </w:r>
          </w:p>
        </w:tc>
      </w:tr>
    </w:tbl>
    <w:p>
      <w:pPr>
        <w:spacing w:after="120"/>
      </w:pPr>
    </w:p>
    <w:p>
      <w:pPr>
        <w:ind w:firstLine="720"/>
        <w:jc w:val="both"/>
      </w:pPr>
      <w:r>
        <w:rPr/>
        <w:t>Some features used in prior work are excluded. Blink duration is undefined when no blink occurs, which happened only in low-load recordings (13 of 45 A1 recordings and none of the A4 recordings); its missingness would therefore reveal the label [63], [14]. Mean saccade velocity and saccade duration are near-duplicates of peak velocity and amplitude (ρ = 0.95 and 0.83) [76], [15]. The higher-order statistics used by the COLET authors are omitted to keep the number of features small relative to the 90 samples.</w:t>
      </w:r>
    </w:p>
    <w:p>
      <w:pPr>
        <w:pStyle w:val="Heading2"/>
        <w:jc w:val="left"/>
      </w:pPr>
      <w:r>
        <w:t>PER-PERSON STANDARDIZATION</w:t>
      </w:r>
    </w:p>
    <w:p>
      <w:pPr>
        <w:ind w:firstLine="720"/>
        <w:jc w:val="both"/>
      </w:pPr>
      <w:r>
        <w:rPr/>
        <w:t>Each feature is converted to a z-score using the mean and standard deviation of the same participant’s four activities. This removes stable individual differences, such as a naturally large pupil, which are much larger than the workload effect [30], and follows the closest prior studies [15], [55], [56]. The step does not use labels. It does, however, use the test participant’s own unlabelled recordings and relies on COLET’s balanced design, in which every participant completed both easier and harder activities; this is stated as a limitation [14].</w:t>
      </w:r>
    </w:p>
    <w:p>
      <w:pPr>
        <w:pStyle w:val="Heading2"/>
        <w:jc w:val="left"/>
      </w:pPr>
      <w:r>
        <w:t>MODEL DEVELOPMENT</w:t>
      </w:r>
    </w:p>
    <w:p>
      <w:pPr>
        <w:ind w:firstLine="720"/>
        <w:jc w:val="both"/>
      </w:pPr>
      <w:r>
        <w:rPr/>
        <w:t>Two models are trained (Table 6). Logistic Regression uses an elastic-net penalty, with the penalty strength and the L1/L2 mix tuned inside the training folds [48], [8]. XGBoost is restricted to shallow, regularized trees because only 88 samples (44 participants) are available for training in each fold [9], [50]. Both models receive the same tuning budget and identical folds [31]. Missing values are imputed with the training-fold median for Logistic Regression and handled natively by XGBoost [77].</w:t>
      </w:r>
    </w:p>
    <w:p>
      <w:pPr>
        <w:keepNext/>
        <w:spacing w:after="120"/>
        <w:jc w:val="left"/>
      </w:pPr>
      <w:r>
        <w:rPr>
          <w:b/>
        </w:rPr>
        <w:t xml:space="preserve">Table 6. </w:t>
      </w:r>
      <w:r>
        <w:rPr/>
        <w:t>Model settings.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9D9D9"/>
          </w:tcPr>
          <w:p>
            <w:pPr>
              <w:spacing w:line="240" w:lineRule="auto" w:after="40"/>
              <w:ind w:firstLine="0"/>
            </w:pPr>
            <w:r>
              <w:rPr>
                <w:b/>
                <w:sz w:val="20"/>
              </w:rPr>
              <w:t>Model</w:t>
            </w:r>
          </w:p>
        </w:tc>
        <w:tc>
          <w:tcPr>
            <w:tcW w:type="dxa" w:w="7056"/>
            <w:shd w:val="clear" w:color="auto" w:fill="D9D9D9"/>
          </w:tcPr>
          <w:p>
            <w:pPr>
              <w:spacing w:line="240" w:lineRule="auto" w:after="40"/>
              <w:ind w:firstLine="0"/>
            </w:pPr>
            <w:r>
              <w:rPr>
                <w:b/>
                <w:sz w:val="20"/>
              </w:rPr>
              <w:t>Settings searched</w:t>
            </w:r>
          </w:p>
        </w:tc>
      </w:tr>
      <w:tr>
        <w:tc>
          <w:tcPr>
            <w:tcW w:type="dxa" w:w="2304"/>
          </w:tcPr>
          <w:p>
            <w:pPr>
              <w:spacing w:line="240" w:lineRule="auto" w:after="40"/>
              <w:ind w:firstLine="0"/>
            </w:pPr>
            <w:r>
              <w:rPr>
                <w:sz w:val="20"/>
              </w:rPr>
              <w:t>Logistic Regression</w:t>
            </w:r>
          </w:p>
        </w:tc>
        <w:tc>
          <w:tcPr>
            <w:tcW w:type="dxa" w:w="7056"/>
          </w:tcPr>
          <w:p>
            <w:pPr>
              <w:spacing w:line="240" w:lineRule="auto" w:after="40"/>
              <w:ind w:firstLine="0"/>
            </w:pPr>
            <w:r>
              <w:rPr>
                <w:sz w:val="20"/>
              </w:rPr>
              <w:t>Elastic-net penalty; regularization strength and L1/L2 ratio tuned; features standardized in-fold</w:t>
            </w:r>
          </w:p>
        </w:tc>
      </w:tr>
      <w:tr>
        <w:tc>
          <w:tcPr>
            <w:tcW w:type="dxa" w:w="2304"/>
          </w:tcPr>
          <w:p>
            <w:pPr>
              <w:spacing w:line="240" w:lineRule="auto" w:after="40"/>
              <w:ind w:firstLine="0"/>
            </w:pPr>
            <w:r>
              <w:rPr>
                <w:sz w:val="20"/>
              </w:rPr>
              <w:t>XGBoost</w:t>
            </w:r>
          </w:p>
        </w:tc>
        <w:tc>
          <w:tcPr>
            <w:tcW w:type="dxa" w:w="7056"/>
          </w:tcPr>
          <w:p>
            <w:pPr>
              <w:spacing w:line="240" w:lineRule="auto" w:after="40"/>
              <w:ind w:firstLine="0"/>
            </w:pPr>
            <w:r>
              <w:rPr>
                <w:sz w:val="20"/>
              </w:rPr>
              <w:t>Maximum depth 1–3; 50–300 trees; learning rate 0.05–0.1; row and column subsampling 0.7–1.0; L1 and L2 penalties tuned</w:t>
            </w:r>
          </w:p>
        </w:tc>
      </w:tr>
    </w:tbl>
    <w:p>
      <w:pPr>
        <w:spacing w:after="120"/>
      </w:pPr>
    </w:p>
    <w:p>
      <w:pPr>
        <w:pStyle w:val="Heading2"/>
        <w:jc w:val="left"/>
      </w:pPr>
      <w:r>
        <w:t>VALIDATION PROCEDURE</w:t>
      </w:r>
    </w:p>
    <w:p>
      <w:pPr>
        <w:ind w:firstLine="720"/>
        <w:jc w:val="both"/>
      </w:pPr>
      <w:r>
        <w:rPr/>
        <w:t>Models are evaluated with leave-one-participant-out validation over the 45 participants: in each fold, both recordings of one participant form the test set and the other 44 participants form the training set [13], [52]. Hyperparameters are tuned with an inner cross-validation that is also grouped by participant [31], [53]. All preprocessing steps that learn from data, including scaling and imputation, are fitted on the training participants only [14].</w:t>
      </w:r>
    </w:p>
    <w:p>
      <w:pPr>
        <w:pStyle w:val="Heading2"/>
        <w:jc w:val="left"/>
      </w:pPr>
      <w:r>
        <w:t>PERFORMANCE METRICS AND STATISTICAL ANALYSIS</w:t>
      </w:r>
    </w:p>
    <w:p>
      <w:pPr>
        <w:ind w:firstLine="720"/>
        <w:jc w:val="both"/>
      </w:pPr>
      <w:r>
        <w:rPr/>
        <w:t>The primary metric is ROC-AUC computed on the pooled out-of-fold predictions [78], with a 95% confidence interval from a bootstrap that resamples participants [26]. Balanced accuracy, macro-F1, per-class recall and the Brier score [79], [80] are also reported, together with a majority-class baseline [15] and the share of participants whose A4 recording is ranked above their A1 recording.</w:t>
      </w:r>
    </w:p>
    <w:p>
      <w:pPr>
        <w:ind w:firstLine="720"/>
        <w:jc w:val="both"/>
      </w:pPr>
      <w:r>
        <w:rPr/>
        <w:t>The two models are compared through the difference in pooled ROC-AUC with a participant-bootstrap confidence interval. A paired Wilcoxon signed-rank test on per-participant scores is reported as a supporting test [81], and a grouped permutation test checks performance against chance [82].</w:t>
      </w:r>
    </w:p>
    <w:p>
      <w:pPr>
        <w:pStyle w:val="Heading2"/>
        <w:jc w:val="left"/>
      </w:pPr>
      <w:r>
        <w:t>FEATURE IMPORTANCE ANALYSIS</w:t>
      </w:r>
    </w:p>
    <w:p>
      <w:pPr>
        <w:ind w:firstLine="720"/>
        <w:jc w:val="both"/>
      </w:pPr>
      <w:r>
        <w:rPr/>
        <w:t>Feature importance is analyzed in three ways. First, the standardized elastic-net coefficients of Logistic Regression are reported [59], [8]. Second, SHAP values are computed on held-out data for both models, using TreeSHAP for XGBoost and linear SHAP for Logistic Regression, so that both rankings are on the same scale [18], [19]. Applying SHAP to both models is the researchers’ own choice, justified by SHAP being applicable to any model. Third, permutation importance is computed for both models on the pooled out-of-fold predictions [20], [21].</w:t>
      </w:r>
    </w:p>
    <w:p>
      <w:pPr>
        <w:ind w:firstLine="720"/>
        <w:jc w:val="both"/>
      </w:pPr>
      <w:r>
        <w:rPr/>
        <w:t>Agreement between the two models’ rankings is measured with Kendall’s τ, reported with a bootstrap confidence interval, and the stability of rankings across folds is examined [83]. Built-in gain importance is reported in the appendix only [60]. Importance is interpreted as what each model relied on, not as a cause of cognitive load [61].</w:t>
      </w:r>
    </w:p>
    <w:p>
      <w:pPr>
        <w:pStyle w:val="Heading2"/>
        <w:jc w:val="left"/>
      </w:pPr>
      <w:r>
        <w:t>ANALYSIS PLAN</w:t>
      </w:r>
    </w:p>
    <w:p>
      <w:pPr>
        <w:ind w:firstLine="720"/>
        <w:jc w:val="both"/>
      </w:pPr>
      <w:r>
        <w:rPr/>
        <w:t>Two analyses are required (Table 7). The main analysis (P1) uses all ten features. Because the high-load activity involves counting aloud, which affects blinking and gaze [22], [84], a second analysis (P2) repeats P1 with the two pupil features only, since pupil size is the most established workload signal [5] and has been used alone in prior workload models [10], [85], [86].</w:t>
      </w:r>
    </w:p>
    <w:p>
      <w:pPr>
        <w:keepNext/>
        <w:spacing w:after="120"/>
        <w:jc w:val="left"/>
      </w:pPr>
      <w:r>
        <w:rPr>
          <w:b/>
        </w:rPr>
        <w:t xml:space="preserve">Table 7. </w:t>
      </w:r>
      <w:r>
        <w:rPr/>
        <w:t>Required analyses.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D9D9"/>
          </w:tcPr>
          <w:p>
            <w:pPr>
              <w:spacing w:line="240" w:lineRule="auto" w:after="40"/>
              <w:ind w:firstLine="0"/>
            </w:pPr>
            <w:r>
              <w:rPr>
                <w:b/>
                <w:sz w:val="20"/>
              </w:rPr>
              <w:t>Analysis</w:t>
            </w:r>
          </w:p>
        </w:tc>
        <w:tc>
          <w:tcPr>
            <w:tcW w:type="dxa" w:w="3600"/>
            <w:shd w:val="clear" w:color="auto" w:fill="D9D9D9"/>
          </w:tcPr>
          <w:p>
            <w:pPr>
              <w:spacing w:line="240" w:lineRule="auto" w:after="40"/>
              <w:ind w:firstLine="0"/>
            </w:pPr>
            <w:r>
              <w:rPr>
                <w:b/>
                <w:sz w:val="20"/>
              </w:rPr>
              <w:t>Features</w:t>
            </w:r>
          </w:p>
        </w:tc>
        <w:tc>
          <w:tcPr>
            <w:tcW w:type="dxa" w:w="4320"/>
            <w:shd w:val="clear" w:color="auto" w:fill="D9D9D9"/>
          </w:tcPr>
          <w:p>
            <w:pPr>
              <w:spacing w:line="240" w:lineRule="auto" w:after="40"/>
              <w:ind w:firstLine="0"/>
            </w:pPr>
            <w:r>
              <w:rPr>
                <w:b/>
                <w:sz w:val="20"/>
              </w:rPr>
              <w:t>Purpose</w:t>
            </w:r>
          </w:p>
        </w:tc>
      </w:tr>
      <w:tr>
        <w:tc>
          <w:tcPr>
            <w:tcW w:type="dxa" w:w="1440"/>
          </w:tcPr>
          <w:p>
            <w:pPr>
              <w:spacing w:line="240" w:lineRule="auto" w:after="40"/>
              <w:ind w:firstLine="0"/>
            </w:pPr>
            <w:r>
              <w:rPr>
                <w:sz w:val="20"/>
              </w:rPr>
              <w:t>P1</w:t>
            </w:r>
          </w:p>
        </w:tc>
        <w:tc>
          <w:tcPr>
            <w:tcW w:type="dxa" w:w="3600"/>
          </w:tcPr>
          <w:p>
            <w:pPr>
              <w:spacing w:line="240" w:lineRule="auto" w:after="40"/>
              <w:ind w:firstLine="0"/>
            </w:pPr>
            <w:r>
              <w:rPr>
                <w:sz w:val="20"/>
              </w:rPr>
              <w:t>All 10 features</w:t>
            </w:r>
          </w:p>
        </w:tc>
        <w:tc>
          <w:tcPr>
            <w:tcW w:type="dxa" w:w="4320"/>
          </w:tcPr>
          <w:p>
            <w:pPr>
              <w:spacing w:line="240" w:lineRule="auto" w:after="40"/>
              <w:ind w:firstLine="0"/>
            </w:pPr>
            <w:r>
              <w:rPr>
                <w:sz w:val="20"/>
              </w:rPr>
              <w:t>Main comparison of Logistic Regression and XGBoost</w:t>
            </w:r>
          </w:p>
        </w:tc>
      </w:tr>
      <w:tr>
        <w:tc>
          <w:tcPr>
            <w:tcW w:type="dxa" w:w="1440"/>
          </w:tcPr>
          <w:p>
            <w:pPr>
              <w:spacing w:line="240" w:lineRule="auto" w:after="40"/>
              <w:ind w:firstLine="0"/>
            </w:pPr>
            <w:r>
              <w:rPr>
                <w:sz w:val="20"/>
              </w:rPr>
              <w:t>P2</w:t>
            </w:r>
          </w:p>
        </w:tc>
        <w:tc>
          <w:tcPr>
            <w:tcW w:type="dxa" w:w="3600"/>
          </w:tcPr>
          <w:p>
            <w:pPr>
              <w:spacing w:line="240" w:lineRule="auto" w:after="40"/>
              <w:ind w:firstLine="0"/>
            </w:pPr>
            <w:r>
              <w:rPr>
                <w:sz w:val="20"/>
              </w:rPr>
              <w:t>Pupil mean and pupil standard deviation</w:t>
            </w:r>
          </w:p>
        </w:tc>
        <w:tc>
          <w:tcPr>
            <w:tcW w:type="dxa" w:w="4320"/>
          </w:tcPr>
          <w:p>
            <w:pPr>
              <w:spacing w:line="240" w:lineRule="auto" w:after="40"/>
              <w:ind w:firstLine="0"/>
            </w:pPr>
            <w:r>
              <w:rPr>
                <w:sz w:val="20"/>
              </w:rPr>
              <w:t>Robustness check against effects of talking</w:t>
            </w:r>
          </w:p>
        </w:tc>
      </w:tr>
    </w:tbl>
    <w:p>
      <w:pPr>
        <w:spacing w:after="120"/>
      </w:pPr>
    </w:p>
    <w:p>
      <w:pPr>
        <w:ind w:firstLine="720"/>
        <w:jc w:val="both"/>
      </w:pPr>
      <w:r>
        <w:rPr/>
        <w:t>P1 is the headline result regardless of which analysis scores higher. A ceiling rule was stated before any results were seen: if both models exceed 0.95 ROC-AUC in P1, the model comparison is interpreted mainly from P2, because top-performing models often tie [8], while feature importance is still reported from P1. P2 is not fully independent of the spoken task, because the tracker re-fitted its pupil model more often in the counting activities; this is stated as a limitation.</w:t>
      </w:r>
    </w:p>
    <w:p>
      <w:pPr>
        <w:pStyle w:val="Heading2"/>
        <w:jc w:val="left"/>
      </w:pPr>
      <w:r>
        <w:t>ETHICAL CONSIDERATIONS</w:t>
      </w:r>
    </w:p>
    <w:p>
      <w:pPr>
        <w:ind w:firstLine="720"/>
        <w:jc w:val="both"/>
      </w:pPr>
      <w:r>
        <w:rPr/>
        <w:t>This study is a secondary analysis of the publicly available, de-identified COLET dataset (CC BY 4.0), whose collection was approved by the Ethics Committee of the Foundation for Research and Technology – Hellas (110/12-02-2021) [17]. No new data were collected, and no attempt is made to identify participants. The dataset and the original article are cited as required by the licence.</w:t>
      </w:r>
    </w:p>
    <w:p>
      <w:pPr>
        <w:pStyle w:val="Heading2"/>
        <w:jc w:val="left"/>
      </w:pPr>
      <w:r>
        <w:t>DESIGN CHOICES</w:t>
      </w:r>
    </w:p>
    <w:p>
      <w:pPr>
        <w:ind w:firstLine="720"/>
        <w:jc w:val="both"/>
      </w:pPr>
      <w:r>
        <w:rPr/>
        <w:t>Some settings have no published source for their exact value and are the researchers’ own choices, justified by the data checks described above: the 35% exclusion threshold applied to whole recordings, the 1 s gap rule for valid time, the 0.8–1.25 tolerance of the detection sanity check, the use of each eye’s gaze direction, and the use of the extreme activities A1 and A4 as binary labels.</w:t>
      </w:r>
    </w:p>
    <w:p>
      <w:pPr>
        <w:spacing w:after="0"/>
      </w:pPr>
      <w:r>
        <w:br w:type="page"/>
      </w:r>
    </w:p>
    <w:p>
      <w:pPr>
        <w:pStyle w:val="Heading1"/>
        <w:spacing w:after="360"/>
        <w:jc w:val="center"/>
      </w:pPr>
      <w:r>
        <w:rPr>
          <w:sz w:val="28"/>
        </w:rPr>
        <w:t>CHAPTER 4</w:t>
        <w:br/>
      </w:r>
      <w:r>
        <w:rPr>
          <w:sz w:val="24"/>
        </w:rPr>
        <w:t>RESULTS AND DISCUSSION</w:t>
      </w:r>
    </w:p>
    <w:p>
      <w:pPr>
        <w:jc w:val="both"/>
      </w:pPr>
      <w:r>
        <w:rPr>
          <w:highlight w:val="yellow"/>
        </w:rPr>
        <w:t>[To be written after the analysis is run. Planned content: manipulation check (NASA-RTLX); data retention table; detection sanity check per activity; P1 and P2 results for both models (ROC-AUC with confidence intervals, balanced accuracy, macro-F1, Brier score, majority baseline); model comparison; feature importance rankings and their agreement; discussion against the related studies in Chapter 2.]</w:t>
      </w:r>
    </w:p>
    <w:p>
      <w:pPr>
        <w:spacing w:after="0"/>
      </w:pPr>
      <w:r>
        <w:br w:type="page"/>
      </w:r>
    </w:p>
    <w:p>
      <w:pPr>
        <w:pStyle w:val="Heading1"/>
        <w:spacing w:after="360"/>
        <w:jc w:val="center"/>
      </w:pPr>
      <w:r>
        <w:rPr>
          <w:sz w:val="28"/>
        </w:rPr>
        <w:t>CHAPTER 5</w:t>
        <w:br/>
      </w:r>
      <w:r>
        <w:rPr>
          <w:sz w:val="24"/>
        </w:rPr>
        <w:t>CONCLUSION AND RECOMMENDATION</w:t>
      </w:r>
    </w:p>
    <w:p>
      <w:pPr>
        <w:jc w:val="both"/>
      </w:pPr>
      <w:r>
        <w:rPr>
          <w:highlight w:val="yellow"/>
        </w:rPr>
        <w:t>[To be written after Chapter 4. Planned content: answers to each specific objective; limitations (talking in the high-load activity, pupil-model refits in P2, per-person standardization, small sample, laboratory setting); recommendations and future work (other datasets, a refit-free pupil analysis, calibration-based standardization, real-time use).]</w:t>
      </w:r>
    </w:p>
    <w:p>
      <w:r>
        <w:br w:type="page"/>
      </w:r>
    </w:p>
    <w:p>
      <w:pPr>
        <w:pStyle w:val="Heading1"/>
        <w:jc w:val="center"/>
      </w:pPr>
      <w:r>
        <w:t>REFERENCES</w:t>
      </w:r>
    </w:p>
    <w:p>
      <w:pPr>
        <w:tabs>
          <w:tab w:pos="720" w:val="left"/>
        </w:tabs>
        <w:spacing w:line="240" w:lineRule="auto" w:after="160"/>
        <w:ind w:left="720" w:hanging="720"/>
        <w:jc w:val="left"/>
      </w:pPr>
      <w:r>
        <w:rPr/>
        <w:t>[1]</w:t>
        <w:tab/>
        <w:t xml:space="preserve">D. Kahneman, </w:t>
      </w:r>
      <w:r>
        <w:rPr>
          <w:i/>
        </w:rPr>
        <w:t>Attention and Effort</w:t>
      </w:r>
      <w:r>
        <w:rPr/>
        <w:t>. Englewood Cliffs, NJ, USA: Prentice-Hall, 1973.</w:t>
      </w:r>
    </w:p>
    <w:p>
      <w:pPr>
        <w:tabs>
          <w:tab w:pos="720" w:val="left"/>
        </w:tabs>
        <w:spacing w:line="240" w:lineRule="auto" w:after="160"/>
        <w:ind w:left="720" w:hanging="720"/>
        <w:jc w:val="left"/>
      </w:pPr>
      <w:r>
        <w:rPr/>
        <w:t>[2]</w:t>
        <w:tab/>
        <w:t xml:space="preserve">F. Paas and J. J. G. van Merriënboer, “Cognitive-load theory: Methods to manage working memory load in the learning of complex tasks,” </w:t>
      </w:r>
      <w:r>
        <w:rPr>
          <w:i/>
        </w:rPr>
        <w:t>Curr. Dir. Psychol. Sci.</w:t>
      </w:r>
      <w:r>
        <w:rPr/>
        <w:t>, vol. 29, no. 4, pp. 394–398, 2020.</w:t>
      </w:r>
    </w:p>
    <w:p>
      <w:pPr>
        <w:tabs>
          <w:tab w:pos="720" w:val="left"/>
        </w:tabs>
        <w:spacing w:line="240" w:lineRule="auto" w:after="160"/>
        <w:ind w:left="720" w:hanging="720"/>
        <w:jc w:val="left"/>
      </w:pPr>
      <w:r>
        <w:rPr/>
        <w:t>[3]</w:t>
        <w:tab/>
        <w:t xml:space="preserve">M. S. Young, K. A. Brookhuis, C. D. Wickens, and P. A. Hancock, “State of science: Mental workload in ergonomics,” </w:t>
      </w:r>
      <w:r>
        <w:rPr>
          <w:i/>
        </w:rPr>
        <w:t>Ergonomics</w:t>
      </w:r>
      <w:r>
        <w:rPr/>
        <w:t>, vol. 58, no. 1, pp. 1–17, 2015, doi: 10.1080/00140139.2014.956151.</w:t>
      </w:r>
    </w:p>
    <w:p>
      <w:pPr>
        <w:tabs>
          <w:tab w:pos="720" w:val="left"/>
        </w:tabs>
        <w:spacing w:line="240" w:lineRule="auto" w:after="160"/>
        <w:ind w:left="720" w:hanging="720"/>
        <w:jc w:val="left"/>
      </w:pPr>
      <w:r>
        <w:rPr/>
        <w:t>[4]</w:t>
        <w:tab/>
        <w:t xml:space="preserve">S. G. Hart and L. E. Staveland, “Development of NASA-TLX (Task Load Index): Results of empirical and theoretical research,” in </w:t>
      </w:r>
      <w:r>
        <w:rPr>
          <w:i/>
        </w:rPr>
        <w:t>Human Mental Workload</w:t>
      </w:r>
      <w:r>
        <w:rPr/>
        <w:t>, P. A. Hancock and N. Meshkati, Eds. Amsterdam, The Netherlands: North-Holland, 1988, pp. 139–183, doi: 10.1016/S0166-4115(08)62386-9.</w:t>
      </w:r>
    </w:p>
    <w:p>
      <w:pPr>
        <w:tabs>
          <w:tab w:pos="720" w:val="left"/>
        </w:tabs>
        <w:spacing w:line="240" w:lineRule="auto" w:after="160"/>
        <w:ind w:left="720" w:hanging="720"/>
        <w:jc w:val="left"/>
      </w:pPr>
      <w:r>
        <w:rPr/>
        <w:t>[5]</w:t>
        <w:tab/>
        <w:t xml:space="preserve">D. Tao </w:t>
      </w:r>
      <w:r>
        <w:rPr>
          <w:i/>
        </w:rPr>
        <w:t>et al.</w:t>
      </w:r>
      <w:r>
        <w:rPr/>
        <w:t xml:space="preserve">, “A systematic review of physiological measures of mental workload,” </w:t>
      </w:r>
      <w:r>
        <w:rPr>
          <w:i/>
        </w:rPr>
        <w:t>Int. J. Environ. Res. Public Health</w:t>
      </w:r>
      <w:r>
        <w:rPr/>
        <w:t>, vol. 16, no. 15, Art. no. 2716, 2019, doi: 10.3390/ijerph16152716.</w:t>
      </w:r>
    </w:p>
    <w:p>
      <w:pPr>
        <w:tabs>
          <w:tab w:pos="720" w:val="left"/>
        </w:tabs>
        <w:spacing w:line="240" w:lineRule="auto" w:after="160"/>
        <w:ind w:left="720" w:hanging="720"/>
        <w:jc w:val="left"/>
      </w:pPr>
      <w:r>
        <w:rPr/>
        <w:t>[6]</w:t>
        <w:tab/>
        <w:t xml:space="preserve">G. Matthews, L. E. Reinerman-Jones, D. J. Barber, and J. Abich, “The psychometrics of mental workload: Multiple measures are sensitive but divergent,” </w:t>
      </w:r>
      <w:r>
        <w:rPr>
          <w:i/>
        </w:rPr>
        <w:t>Hum. Factors</w:t>
      </w:r>
      <w:r>
        <w:rPr/>
        <w:t>, 2015, doi: 10.1177/0018720814539505.</w:t>
      </w:r>
    </w:p>
    <w:p>
      <w:pPr>
        <w:tabs>
          <w:tab w:pos="720" w:val="left"/>
        </w:tabs>
        <w:spacing w:line="240" w:lineRule="auto" w:after="160"/>
        <w:ind w:left="720" w:hanging="720"/>
        <w:jc w:val="left"/>
      </w:pPr>
      <w:r>
        <w:rPr/>
        <w:t>[7]</w:t>
        <w:tab/>
        <w:t xml:space="preserve">C. M. Bishop, </w:t>
      </w:r>
      <w:r>
        <w:rPr>
          <w:i/>
        </w:rPr>
        <w:t>Pattern Recognition and Machine Learning</w:t>
      </w:r>
      <w:r>
        <w:rPr/>
        <w:t>. New York, NY, USA: Springer, 2006.</w:t>
      </w:r>
    </w:p>
    <w:p>
      <w:pPr>
        <w:tabs>
          <w:tab w:pos="720" w:val="left"/>
        </w:tabs>
        <w:spacing w:line="240" w:lineRule="auto" w:after="160"/>
        <w:ind w:left="720" w:hanging="720"/>
        <w:jc w:val="left"/>
      </w:pPr>
      <w:r>
        <w:rPr/>
        <w:t>[8]</w:t>
        <w:tab/>
        <w:t xml:space="preserve">M. Kaczorowska, M. Plechawska-Wójcik, and M. Tokovarov, “Interpretable machine learning models for three-way classification of cognitive workload levels for eye-tracking features,” </w:t>
      </w:r>
      <w:r>
        <w:rPr>
          <w:i/>
        </w:rPr>
        <w:t>Brain Sci.</w:t>
      </w:r>
      <w:r>
        <w:rPr/>
        <w:t>, vol. 11, no. 2, Art. no. 210, 2021, doi: 10.3390/brainsci11020210.</w:t>
      </w:r>
    </w:p>
    <w:p>
      <w:pPr>
        <w:tabs>
          <w:tab w:pos="720" w:val="left"/>
        </w:tabs>
        <w:spacing w:line="240" w:lineRule="auto" w:after="160"/>
        <w:ind w:left="720" w:hanging="720"/>
        <w:jc w:val="left"/>
      </w:pPr>
      <w:r>
        <w:rPr/>
        <w:t>[9]</w:t>
        <w:tab/>
        <w:t xml:space="preserve">T. Chen and C. Guestrin, “XGBoost: A scalable tree boosting system,” in </w:t>
      </w:r>
      <w:r>
        <w:rPr>
          <w:i/>
        </w:rPr>
        <w:t>Proc. 22nd ACM SIGKDD Int. Conf. Knowl. Discov. Data Min.</w:t>
      </w:r>
      <w:r>
        <w:rPr/>
        <w:t>, 2016, pp. 785–794, doi: 10.1145/2939672.2939785.</w:t>
      </w:r>
    </w:p>
    <w:p>
      <w:pPr>
        <w:tabs>
          <w:tab w:pos="720" w:val="left"/>
        </w:tabs>
        <w:spacing w:line="240" w:lineRule="auto" w:after="160"/>
        <w:ind w:left="720" w:hanging="720"/>
        <w:jc w:val="left"/>
      </w:pPr>
      <w:r>
        <w:rPr/>
        <w:t>[10]</w:t>
        <w:tab/>
        <w:t xml:space="preserve">T. Rolon-Merette </w:t>
      </w:r>
      <w:r>
        <w:rPr>
          <w:i/>
        </w:rPr>
        <w:t>et al.</w:t>
      </w:r>
      <w:r>
        <w:rPr/>
        <w:t xml:space="preserve">, “Towards a cross-participant cognitive load classification using eye tracking and deep learning,” in </w:t>
      </w:r>
      <w:r>
        <w:rPr>
          <w:i/>
        </w:rPr>
        <w:t>Proc. Int. FLAIRS Conf.</w:t>
      </w:r>
      <w:r>
        <w:rPr/>
        <w:t>, vol. 39, no. 1, 2026, doi: 10.32473/flairs.39.1.141863.</w:t>
      </w:r>
    </w:p>
    <w:p>
      <w:pPr>
        <w:tabs>
          <w:tab w:pos="720" w:val="left"/>
        </w:tabs>
        <w:spacing w:line="240" w:lineRule="auto" w:after="160"/>
        <w:ind w:left="720" w:hanging="720"/>
        <w:jc w:val="left"/>
      </w:pPr>
      <w:r>
        <w:rPr/>
        <w:t>[11]</w:t>
        <w:tab/>
        <w:t xml:space="preserve">G. Nerella, D. Gan, B. David-John, and R. Alghofaili, “Gaze-based prediction of cognitive load in augmented reality,” </w:t>
      </w:r>
      <w:r>
        <w:rPr>
          <w:i/>
        </w:rPr>
        <w:t>Proc. ACM Hum.-Comput. Interact.</w:t>
      </w:r>
      <w:r>
        <w:rPr/>
        <w:t>, vol. 10, no. 3, 2026, doi: 10.1145/3806040.</w:t>
      </w:r>
    </w:p>
    <w:p>
      <w:pPr>
        <w:tabs>
          <w:tab w:pos="720" w:val="left"/>
        </w:tabs>
        <w:spacing w:line="240" w:lineRule="auto" w:after="160"/>
        <w:ind w:left="720" w:hanging="720"/>
        <w:jc w:val="left"/>
      </w:pPr>
      <w:r>
        <w:rPr/>
        <w:t>[12]</w:t>
        <w:tab/>
        <w:t xml:space="preserve">X. Shao, X. Ma, F. Chen, and X. Pan, “Multimodal machine learning framework for driver mental workload classification: A comparative and interpretable approach,” </w:t>
      </w:r>
      <w:r>
        <w:rPr>
          <w:i/>
        </w:rPr>
        <w:t>Appl. Sci.</w:t>
      </w:r>
      <w:r>
        <w:rPr/>
        <w:t>, vol. 16, no. 7, Art. no. 3581, 2026, doi: 10.3390/app16073581.</w:t>
      </w:r>
    </w:p>
    <w:p>
      <w:pPr>
        <w:tabs>
          <w:tab w:pos="720" w:val="left"/>
        </w:tabs>
        <w:spacing w:line="240" w:lineRule="auto" w:after="160"/>
        <w:ind w:left="720" w:hanging="720"/>
        <w:jc w:val="left"/>
      </w:pPr>
      <w:r>
        <w:rPr/>
        <w:t>[13]</w:t>
        <w:tab/>
        <w:t xml:space="preserve">S. Saeb, L. Lonini, A. Jayaraman, D. C. Mohr, and K. P. Kording, “The need to approximate the use-case in clinical machine learning,” </w:t>
      </w:r>
      <w:r>
        <w:rPr>
          <w:i/>
        </w:rPr>
        <w:t>GigaScience</w:t>
      </w:r>
      <w:r>
        <w:rPr/>
        <w:t>, vol. 6, no. 5, 2017, doi: 10.1093/gigascience/gix019.</w:t>
      </w:r>
    </w:p>
    <w:p>
      <w:pPr>
        <w:tabs>
          <w:tab w:pos="720" w:val="left"/>
        </w:tabs>
        <w:spacing w:line="240" w:lineRule="auto" w:after="160"/>
        <w:ind w:left="720" w:hanging="720"/>
        <w:jc w:val="left"/>
      </w:pPr>
      <w:r>
        <w:rPr/>
        <w:t>[14]</w:t>
        <w:tab/>
        <w:t xml:space="preserve">S. Kapoor and A. Narayanan, “Leakage and the reproducibility crisis in machine-learning-based science,” </w:t>
      </w:r>
      <w:r>
        <w:rPr>
          <w:i/>
        </w:rPr>
        <w:t>Patterns</w:t>
      </w:r>
      <w:r>
        <w:rPr/>
        <w:t>, vol. 4, no. 9, Art. no. 100804, 2023, doi: 10.1016/j.patter.2023.100804.</w:t>
      </w:r>
    </w:p>
    <w:p>
      <w:pPr>
        <w:tabs>
          <w:tab w:pos="720" w:val="left"/>
        </w:tabs>
        <w:spacing w:line="240" w:lineRule="auto" w:after="160"/>
        <w:ind w:left="720" w:hanging="720"/>
        <w:jc w:val="left"/>
      </w:pPr>
      <w:r>
        <w:rPr/>
        <w:t>[15]</w:t>
        <w:tab/>
        <w:t xml:space="preserve">T. Božak, S. Goyal, M. Langheinrich, M. Gjoreski, and G. Slapničar, “Evaluating feature-based machine-learning models with post hoc explainability for eye-tracking-based task type and workload inference,” </w:t>
      </w:r>
      <w:r>
        <w:rPr>
          <w:i/>
        </w:rPr>
        <w:t>AI</w:t>
      </w:r>
      <w:r>
        <w:rPr/>
        <w:t>, vol. 7, no. 8, Art. no. 325, 2026, doi: 10.3390/ai7080325.</w:t>
      </w:r>
    </w:p>
    <w:p>
      <w:pPr>
        <w:tabs>
          <w:tab w:pos="720" w:val="left"/>
        </w:tabs>
        <w:spacing w:line="240" w:lineRule="auto" w:after="160"/>
        <w:ind w:left="720" w:hanging="720"/>
        <w:jc w:val="left"/>
      </w:pPr>
      <w:r>
        <w:rPr/>
        <w:t>[16]</w:t>
        <w:tab/>
        <w:t xml:space="preserve">S. B. Shafiei, S. Shadpour, and J. L. Mohler, “An integrated EEG and eye-tracking analysis using XGBoost for mental workload evaluation in surgery,” </w:t>
      </w:r>
      <w:r>
        <w:rPr>
          <w:i/>
        </w:rPr>
        <w:t>Hum. Factors</w:t>
      </w:r>
      <w:r>
        <w:rPr/>
        <w:t>, 2025, doi: 10.1177/00187208241285513.</w:t>
      </w:r>
    </w:p>
    <w:p>
      <w:pPr>
        <w:tabs>
          <w:tab w:pos="720" w:val="left"/>
        </w:tabs>
        <w:spacing w:line="240" w:lineRule="auto" w:after="160"/>
        <w:ind w:left="720" w:hanging="720"/>
        <w:jc w:val="left"/>
      </w:pPr>
      <w:r>
        <w:rPr/>
        <w:t>[17]</w:t>
        <w:tab/>
        <w:t xml:space="preserve">E. Ktistakis </w:t>
      </w:r>
      <w:r>
        <w:rPr>
          <w:i/>
        </w:rPr>
        <w:t>et al.</w:t>
      </w:r>
      <w:r>
        <w:rPr/>
        <w:t xml:space="preserve">, “COLET: A dataset for COgnitive workLoad estimation based on eye-tracking,” </w:t>
      </w:r>
      <w:r>
        <w:rPr>
          <w:i/>
        </w:rPr>
        <w:t>Comput. Methods Programs Biomed.</w:t>
      </w:r>
      <w:r>
        <w:rPr/>
        <w:t>, vol. 224, Art. no. 106989, 2022, doi: 10.1016/j.cmpb.2022.106989.</w:t>
      </w:r>
    </w:p>
    <w:p>
      <w:pPr>
        <w:tabs>
          <w:tab w:pos="720" w:val="left"/>
        </w:tabs>
        <w:spacing w:line="240" w:lineRule="auto" w:after="160"/>
        <w:ind w:left="720" w:hanging="720"/>
        <w:jc w:val="left"/>
      </w:pPr>
      <w:r>
        <w:rPr/>
        <w:t>[18]</w:t>
        <w:tab/>
        <w:t xml:space="preserve">S. M. Lundberg and S.-I. Lee, “A unified approach to interpreting model predictions,” in </w:t>
      </w:r>
      <w:r>
        <w:rPr>
          <w:i/>
        </w:rPr>
        <w:t>Adv. Neural Inf. Process. Syst.</w:t>
      </w:r>
      <w:r>
        <w:rPr/>
        <w:t>, vol. 30, 2017.</w:t>
      </w:r>
    </w:p>
    <w:p>
      <w:pPr>
        <w:tabs>
          <w:tab w:pos="720" w:val="left"/>
        </w:tabs>
        <w:spacing w:line="240" w:lineRule="auto" w:after="160"/>
        <w:ind w:left="720" w:hanging="720"/>
        <w:jc w:val="left"/>
      </w:pPr>
      <w:r>
        <w:rPr/>
        <w:t>[19]</w:t>
        <w:tab/>
        <w:t xml:space="preserve">S. M. Lundberg </w:t>
      </w:r>
      <w:r>
        <w:rPr>
          <w:i/>
        </w:rPr>
        <w:t>et al.</w:t>
      </w:r>
      <w:r>
        <w:rPr/>
        <w:t xml:space="preserve">, “From local explanations to global understanding with explainable AI for trees,” </w:t>
      </w:r>
      <w:r>
        <w:rPr>
          <w:i/>
        </w:rPr>
        <w:t>Nat. Mach. Intell.</w:t>
      </w:r>
      <w:r>
        <w:rPr/>
        <w:t>, vol. 2, no. 1, pp. 56–67, 2020, doi: 10.1038/s42256-019-0138-9.</w:t>
      </w:r>
    </w:p>
    <w:p>
      <w:pPr>
        <w:tabs>
          <w:tab w:pos="720" w:val="left"/>
        </w:tabs>
        <w:spacing w:line="240" w:lineRule="auto" w:after="160"/>
        <w:ind w:left="720" w:hanging="720"/>
        <w:jc w:val="left"/>
      </w:pPr>
      <w:r>
        <w:rPr/>
        <w:t>[20]</w:t>
        <w:tab/>
        <w:t xml:space="preserve">L. Breiman, “Random forests,” </w:t>
      </w:r>
      <w:r>
        <w:rPr>
          <w:i/>
        </w:rPr>
        <w:t>Mach. Learn.</w:t>
      </w:r>
      <w:r>
        <w:rPr/>
        <w:t>, vol. 45, no. 1, pp. 5–32, 2001, doi: 10.1023/A:1010933404324.</w:t>
      </w:r>
    </w:p>
    <w:p>
      <w:pPr>
        <w:tabs>
          <w:tab w:pos="720" w:val="left"/>
        </w:tabs>
        <w:spacing w:line="240" w:lineRule="auto" w:after="160"/>
        <w:ind w:left="720" w:hanging="720"/>
        <w:jc w:val="left"/>
      </w:pPr>
      <w:r>
        <w:rPr/>
        <w:t>[21]</w:t>
        <w:tab/>
        <w:t xml:space="preserve">A. Fisher, C. Rudin, and F. Dominici, “All models are wrong, but many are useful: Learning a variable’s importance by studying an entire class of prediction models simultaneously,” </w:t>
      </w:r>
      <w:r>
        <w:rPr>
          <w:i/>
        </w:rPr>
        <w:t>J. Mach. Learn. Res.</w:t>
      </w:r>
      <w:r>
        <w:rPr/>
        <w:t>, vol. 20, no. 177, pp. 1–81, 2019.</w:t>
      </w:r>
    </w:p>
    <w:p>
      <w:pPr>
        <w:tabs>
          <w:tab w:pos="720" w:val="left"/>
        </w:tabs>
        <w:spacing w:line="240" w:lineRule="auto" w:after="160"/>
        <w:ind w:left="720" w:hanging="720"/>
        <w:jc w:val="left"/>
      </w:pPr>
      <w:r>
        <w:rPr/>
        <w:t>[22]</w:t>
        <w:tab/>
        <w:t xml:space="preserve">A. R. Bentivoglio </w:t>
      </w:r>
      <w:r>
        <w:rPr>
          <w:i/>
        </w:rPr>
        <w:t>et al.</w:t>
      </w:r>
      <w:r>
        <w:rPr/>
        <w:t xml:space="preserve">, “Analysis of blink rate patterns in normal subjects,” </w:t>
      </w:r>
      <w:r>
        <w:rPr>
          <w:i/>
        </w:rPr>
        <w:t>Mov. Disord.</w:t>
      </w:r>
      <w:r>
        <w:rPr/>
        <w:t>, vol. 12, no. 6, pp. 1028–1034, 1997, doi: 10.1002/mds.870120629.</w:t>
      </w:r>
    </w:p>
    <w:p>
      <w:pPr>
        <w:tabs>
          <w:tab w:pos="720" w:val="left"/>
        </w:tabs>
        <w:spacing w:line="240" w:lineRule="auto" w:after="160"/>
        <w:ind w:left="720" w:hanging="720"/>
        <w:jc w:val="left"/>
      </w:pPr>
      <w:r>
        <w:rPr/>
        <w:t>[23]</w:t>
        <w:tab/>
        <w:t>United Nations General Assembly, “Transforming our world: The 2030 Agenda for Sustainable Development,” Resolution A/RES/70/1, 2015.</w:t>
      </w:r>
    </w:p>
    <w:p>
      <w:pPr>
        <w:tabs>
          <w:tab w:pos="720" w:val="left"/>
        </w:tabs>
        <w:spacing w:line="240" w:lineRule="auto" w:after="160"/>
        <w:ind w:left="720" w:hanging="720"/>
        <w:jc w:val="left"/>
      </w:pPr>
      <w:r>
        <w:rPr/>
        <w:t>[24]</w:t>
        <w:tab/>
        <w:t xml:space="preserve">E. Christodoulou </w:t>
      </w:r>
      <w:r>
        <w:rPr>
          <w:i/>
        </w:rPr>
        <w:t>et al.</w:t>
      </w:r>
      <w:r>
        <w:rPr/>
        <w:t xml:space="preserve">, “A systematic review shows no performance benefit of machine learning over logistic regression for clinical prediction models,” </w:t>
      </w:r>
      <w:r>
        <w:rPr>
          <w:i/>
        </w:rPr>
        <w:t>J. Clin. Epidemiol.</w:t>
      </w:r>
      <w:r>
        <w:rPr/>
        <w:t>, vol. 110, pp. 12–22, 2019, doi: 10.1016/j.jclinepi.2019.02.004.</w:t>
      </w:r>
    </w:p>
    <w:p>
      <w:pPr>
        <w:tabs>
          <w:tab w:pos="720" w:val="left"/>
        </w:tabs>
        <w:spacing w:line="240" w:lineRule="auto" w:after="160"/>
        <w:ind w:left="720" w:hanging="720"/>
        <w:jc w:val="left"/>
      </w:pPr>
      <w:r>
        <w:rPr/>
        <w:t>[25]</w:t>
        <w:tab/>
        <w:t xml:space="preserve">T. Foulsham, E. Walker, and A. Kingstone, “The where, what and when of gaze allocation in the lab and the natural environment,” </w:t>
      </w:r>
      <w:r>
        <w:rPr>
          <w:i/>
        </w:rPr>
        <w:t>Vision Res.</w:t>
      </w:r>
      <w:r>
        <w:rPr/>
        <w:t>, vol. 51, no. 17, pp. 1920–1931, 2011, doi: 10.1016/j.visres.2011.07.002.</w:t>
      </w:r>
    </w:p>
    <w:p>
      <w:pPr>
        <w:tabs>
          <w:tab w:pos="720" w:val="left"/>
        </w:tabs>
        <w:spacing w:line="240" w:lineRule="auto" w:after="160"/>
        <w:ind w:left="720" w:hanging="720"/>
        <w:jc w:val="left"/>
      </w:pPr>
      <w:r>
        <w:rPr/>
        <w:t>[26]</w:t>
        <w:tab/>
        <w:t xml:space="preserve">G. Varoquaux, “Cross-validation failure: Small sample sizes lead to large error bars,” </w:t>
      </w:r>
      <w:r>
        <w:rPr>
          <w:i/>
        </w:rPr>
        <w:t>NeuroImage</w:t>
      </w:r>
      <w:r>
        <w:rPr/>
        <w:t>, vol. 180, pp. 68–77, 2018, doi: 10.1016/j.neuroimage.2017.06.061.</w:t>
      </w:r>
    </w:p>
    <w:p>
      <w:pPr>
        <w:tabs>
          <w:tab w:pos="720" w:val="left"/>
        </w:tabs>
        <w:spacing w:line="240" w:lineRule="auto" w:after="160"/>
        <w:ind w:left="720" w:hanging="720"/>
        <w:jc w:val="left"/>
      </w:pPr>
      <w:r>
        <w:rPr/>
        <w:t>[27]</w:t>
        <w:tab/>
        <w:t xml:space="preserve">M. E. Kret and E. E. Sjak-Shie, “Preprocessing pupil size data: Guidelines and code,” </w:t>
      </w:r>
      <w:r>
        <w:rPr>
          <w:i/>
        </w:rPr>
        <w:t>Behav. Res. Methods</w:t>
      </w:r>
      <w:r>
        <w:rPr/>
        <w:t>, vol. 51, no. 3, pp. 1336–1342, 2019, doi: 10.3758/s13428-018-1075-y.</w:t>
      </w:r>
    </w:p>
    <w:p>
      <w:pPr>
        <w:tabs>
          <w:tab w:pos="720" w:val="left"/>
        </w:tabs>
        <w:spacing w:line="240" w:lineRule="auto" w:after="160"/>
        <w:ind w:left="720" w:hanging="720"/>
        <w:jc w:val="left"/>
      </w:pPr>
      <w:r>
        <w:rPr/>
        <w:t>[28]</w:t>
        <w:tab/>
        <w:t xml:space="preserve">Y. Faraji </w:t>
      </w:r>
      <w:r>
        <w:rPr>
          <w:i/>
        </w:rPr>
        <w:t>et al.</w:t>
      </w:r>
      <w:r>
        <w:rPr/>
        <w:t xml:space="preserve">, “A toolkit for wide-screen dynamic area of interest measurements using the Pupil Labs Core Eye Tracker,” </w:t>
      </w:r>
      <w:r>
        <w:rPr>
          <w:i/>
        </w:rPr>
        <w:t>Behav. Res. Methods</w:t>
      </w:r>
      <w:r>
        <w:rPr/>
        <w:t>, vol. 55, no. 7, pp. 3820–3830, 2023, doi: 10.3758/s13428-022-01991-5.</w:t>
      </w:r>
    </w:p>
    <w:p>
      <w:pPr>
        <w:tabs>
          <w:tab w:pos="720" w:val="left"/>
        </w:tabs>
        <w:spacing w:line="240" w:lineRule="auto" w:after="160"/>
        <w:ind w:left="720" w:hanging="720"/>
        <w:jc w:val="left"/>
      </w:pPr>
      <w:r>
        <w:rPr/>
        <w:t>[29]</w:t>
        <w:tab/>
        <w:t xml:space="preserve">D. D. Salvucci and J. H. Goldberg, “Identifying fixations and saccades in eye-tracking protocols,” in </w:t>
      </w:r>
      <w:r>
        <w:rPr>
          <w:i/>
        </w:rPr>
        <w:t>Proc. Symp. Eye Tracking Res. Appl. (ETRA)</w:t>
      </w:r>
      <w:r>
        <w:rPr/>
        <w:t>, 2000, pp. 71–78, doi: 10.1145/355017.355028.</w:t>
      </w:r>
    </w:p>
    <w:p>
      <w:pPr>
        <w:tabs>
          <w:tab w:pos="720" w:val="left"/>
        </w:tabs>
        <w:spacing w:line="240" w:lineRule="auto" w:after="160"/>
        <w:ind w:left="720" w:hanging="720"/>
        <w:jc w:val="left"/>
      </w:pPr>
      <w:r>
        <w:rPr/>
        <w:t>[30]</w:t>
        <w:tab/>
        <w:t xml:space="preserve">G. Bargary </w:t>
      </w:r>
      <w:r>
        <w:rPr>
          <w:i/>
        </w:rPr>
        <w:t>et al.</w:t>
      </w:r>
      <w:r>
        <w:rPr/>
        <w:t xml:space="preserve">, “Individual differences in human eye movements: An oculomotor signature?,” </w:t>
      </w:r>
      <w:r>
        <w:rPr>
          <w:i/>
        </w:rPr>
        <w:t>Vision Res.</w:t>
      </w:r>
      <w:r>
        <w:rPr/>
        <w:t>, vol. 141, pp. 157–169, 2017, doi: 10.1016/j.visres.2017.03.001.</w:t>
      </w:r>
    </w:p>
    <w:p>
      <w:pPr>
        <w:tabs>
          <w:tab w:pos="720" w:val="left"/>
        </w:tabs>
        <w:spacing w:line="240" w:lineRule="auto" w:after="160"/>
        <w:ind w:left="720" w:hanging="720"/>
        <w:jc w:val="left"/>
      </w:pPr>
      <w:r>
        <w:rPr/>
        <w:t>[31]</w:t>
        <w:tab/>
        <w:t xml:space="preserve">G. C. Cawley and N. L. C. Talbot, “On over-fitting in model selection and subsequent selection bias in performance evaluation,” </w:t>
      </w:r>
      <w:r>
        <w:rPr>
          <w:i/>
        </w:rPr>
        <w:t>J. Mach. Learn. Res.</w:t>
      </w:r>
      <w:r>
        <w:rPr/>
        <w:t>, vol. 11, pp. 2079–2107, 2010.</w:t>
      </w:r>
    </w:p>
    <w:p>
      <w:pPr>
        <w:tabs>
          <w:tab w:pos="720" w:val="left"/>
        </w:tabs>
        <w:spacing w:line="240" w:lineRule="auto" w:after="160"/>
        <w:ind w:left="720" w:hanging="720"/>
        <w:jc w:val="left"/>
      </w:pPr>
      <w:r>
        <w:rPr/>
        <w:t>[32]</w:t>
        <w:tab/>
        <w:t xml:space="preserve">S. G. Hart, “NASA-Task Load Index (NASA-TLX); 20 years later,” </w:t>
      </w:r>
      <w:r>
        <w:rPr>
          <w:i/>
        </w:rPr>
        <w:t>Proc. Hum. Factors Ergon. Soc. Annu. Meet.</w:t>
      </w:r>
      <w:r>
        <w:rPr/>
        <w:t>, vol. 50, no. 9, pp. 904–908, 2006, doi: 10.1177/154193120605000909.</w:t>
      </w:r>
    </w:p>
    <w:p>
      <w:pPr>
        <w:tabs>
          <w:tab w:pos="720" w:val="left"/>
        </w:tabs>
        <w:spacing w:line="240" w:lineRule="auto" w:after="160"/>
        <w:ind w:left="720" w:hanging="720"/>
        <w:jc w:val="left"/>
      </w:pPr>
      <w:r>
        <w:rPr/>
        <w:t>[33]</w:t>
        <w:tab/>
        <w:t xml:space="preserve">S. Mathôt, “Pupillometry: Psychology, physiology, and function,” </w:t>
      </w:r>
      <w:r>
        <w:rPr>
          <w:i/>
        </w:rPr>
        <w:t>J. Cognition</w:t>
      </w:r>
      <w:r>
        <w:rPr/>
        <w:t>, vol. 1, no. 1, Art. no. 16, 2018, doi: 10.5334/joc.18.</w:t>
      </w:r>
    </w:p>
    <w:p>
      <w:pPr>
        <w:tabs>
          <w:tab w:pos="720" w:val="left"/>
        </w:tabs>
        <w:spacing w:line="240" w:lineRule="auto" w:after="160"/>
        <w:ind w:left="720" w:hanging="720"/>
        <w:jc w:val="left"/>
      </w:pPr>
      <w:r>
        <w:rPr/>
        <w:t>[34]</w:t>
        <w:tab/>
        <w:t xml:space="preserve">M. A. Recarte, E. Pérez, A. Conchillo, and L. M. Nunes, “Mental workload and visual impairment: Differences between pupil, blink, and subjective rating,” </w:t>
      </w:r>
      <w:r>
        <w:rPr>
          <w:i/>
        </w:rPr>
        <w:t>Span. J. Psychol.</w:t>
      </w:r>
      <w:r>
        <w:rPr/>
        <w:t>, vol. 11, pp. 374–385, 2008, doi: 10.1017/s1138741600004406.</w:t>
      </w:r>
    </w:p>
    <w:p>
      <w:pPr>
        <w:tabs>
          <w:tab w:pos="720" w:val="left"/>
        </w:tabs>
        <w:spacing w:line="240" w:lineRule="auto" w:after="160"/>
        <w:ind w:left="720" w:hanging="720"/>
        <w:jc w:val="left"/>
      </w:pPr>
      <w:r>
        <w:rPr/>
        <w:t>[35]</w:t>
        <w:tab/>
        <w:t xml:space="preserve">J. G. May, R. S. Kennedy, M. C. Williams, W. P. Dunlap, and J. R. Brannan, “Eye movement indices of mental workload,” </w:t>
      </w:r>
      <w:r>
        <w:rPr>
          <w:i/>
        </w:rPr>
        <w:t>Acta Psychol.</w:t>
      </w:r>
      <w:r>
        <w:rPr/>
        <w:t>, vol. 75, pp. 75–89, 1990, doi: 10.1016/0001-6918(90)90067-p.</w:t>
      </w:r>
    </w:p>
    <w:p>
      <w:pPr>
        <w:tabs>
          <w:tab w:pos="720" w:val="left"/>
        </w:tabs>
        <w:spacing w:line="240" w:lineRule="auto" w:after="160"/>
        <w:ind w:left="720" w:hanging="720"/>
        <w:jc w:val="left"/>
      </w:pPr>
      <w:r>
        <w:rPr/>
        <w:t>[36]</w:t>
        <w:tab/>
        <w:t xml:space="preserve">L. L. Di Stasi </w:t>
      </w:r>
      <w:r>
        <w:rPr>
          <w:i/>
        </w:rPr>
        <w:t>et al.</w:t>
      </w:r>
      <w:r>
        <w:rPr/>
        <w:t xml:space="preserve">, “Saccadic peak velocity sensitivity to variations in mental workload,” </w:t>
      </w:r>
      <w:r>
        <w:rPr>
          <w:i/>
        </w:rPr>
        <w:t>Aviat. Space Environ. Med.</w:t>
      </w:r>
      <w:r>
        <w:rPr/>
        <w:t>, vol. 81, no. 4, pp. 413–417, 2010, doi: 10.3357/asem.2579.2010.</w:t>
      </w:r>
    </w:p>
    <w:p>
      <w:pPr>
        <w:tabs>
          <w:tab w:pos="720" w:val="left"/>
        </w:tabs>
        <w:spacing w:line="240" w:lineRule="auto" w:after="160"/>
        <w:ind w:left="720" w:hanging="720"/>
        <w:jc w:val="left"/>
      </w:pPr>
      <w:r>
        <w:rPr/>
        <w:t>[37]</w:t>
        <w:tab/>
        <w:t xml:space="preserve">L. L. Di Stasi, A. Antolí, and J. J. Cañas, “Main sequence: An index for detecting mental workload variation in complex tasks,” </w:t>
      </w:r>
      <w:r>
        <w:rPr>
          <w:i/>
        </w:rPr>
        <w:t>Appl. Ergon.</w:t>
      </w:r>
      <w:r>
        <w:rPr/>
        <w:t>, vol. 42, no. 6, pp. 807–813, 2011, doi: 10.1016/j.apergo.2011.01.003.</w:t>
      </w:r>
    </w:p>
    <w:p>
      <w:pPr>
        <w:tabs>
          <w:tab w:pos="720" w:val="left"/>
        </w:tabs>
        <w:spacing w:line="240" w:lineRule="auto" w:after="160"/>
        <w:ind w:left="720" w:hanging="720"/>
        <w:jc w:val="left"/>
      </w:pPr>
      <w:r>
        <w:rPr/>
        <w:t>[38]</w:t>
        <w:tab/>
        <w:t xml:space="preserve">J. C. Liu, K. A. Li, S. L. Yeh, and S. Y. Chien, “Assessing perceptual load and cognitive load by fixation-related information of eye movements,” </w:t>
      </w:r>
      <w:r>
        <w:rPr>
          <w:i/>
        </w:rPr>
        <w:t>Sensors</w:t>
      </w:r>
      <w:r>
        <w:rPr/>
        <w:t>, vol. 22, no. 3, Art. no. 1187, 2022, doi: 10.3390/s22031187.</w:t>
      </w:r>
    </w:p>
    <w:p>
      <w:pPr>
        <w:tabs>
          <w:tab w:pos="720" w:val="left"/>
        </w:tabs>
        <w:spacing w:line="240" w:lineRule="auto" w:after="160"/>
        <w:ind w:left="720" w:hanging="720"/>
        <w:jc w:val="left"/>
      </w:pPr>
      <w:r>
        <w:rPr/>
        <w:t>[39]</w:t>
        <w:tab/>
        <w:t xml:space="preserve">Y. Wang, B. Reimer, J. Dobres, and B. Mehler, “The sensitivity of different methodologies for characterizing drivers’ gaze concentration under increased cognitive demand,” </w:t>
      </w:r>
      <w:r>
        <w:rPr>
          <w:i/>
        </w:rPr>
        <w:t>Transp. Res. Part F</w:t>
      </w:r>
      <w:r>
        <w:rPr/>
        <w:t>, vol. 26, pp. 227–237, 2014, doi: 10.1016/j.trf.2014.08.003.</w:t>
      </w:r>
    </w:p>
    <w:p>
      <w:pPr>
        <w:tabs>
          <w:tab w:pos="720" w:val="left"/>
        </w:tabs>
        <w:spacing w:line="240" w:lineRule="auto" w:after="160"/>
        <w:ind w:left="720" w:hanging="720"/>
        <w:jc w:val="left"/>
      </w:pPr>
      <w:r>
        <w:rPr/>
        <w:t>[40]</w:t>
        <w:tab/>
        <w:t xml:space="preserve">M. A. Recarte and L. M. Nunes, “Mental workload while driving: Effects on visual search, discrimination, and decision making,” </w:t>
      </w:r>
      <w:r>
        <w:rPr>
          <w:i/>
        </w:rPr>
        <w:t>J. Exp. Psychol. Appl.</w:t>
      </w:r>
      <w:r>
        <w:rPr/>
        <w:t>, vol. 9, pp. 119–137, 2003, doi: 10.1037/1076-898x.9.2.119.</w:t>
      </w:r>
    </w:p>
    <w:p>
      <w:pPr>
        <w:tabs>
          <w:tab w:pos="720" w:val="left"/>
        </w:tabs>
        <w:spacing w:line="240" w:lineRule="auto" w:after="160"/>
        <w:ind w:left="720" w:hanging="720"/>
        <w:jc w:val="left"/>
      </w:pPr>
      <w:r>
        <w:rPr/>
        <w:t>[41]</w:t>
        <w:tab/>
        <w:t xml:space="preserve">R. Andersson, L. Larsson, K. Holmqvist, M. Stridh, and M. Nyström, “One algorithm to rule them all? An evaluation and discussion of ten eye movement event-detection algorithms,” </w:t>
      </w:r>
      <w:r>
        <w:rPr>
          <w:i/>
        </w:rPr>
        <w:t>Behav. Res. Methods</w:t>
      </w:r>
      <w:r>
        <w:rPr/>
        <w:t>, vol. 49, no. 2, pp. 616–637, 2017, doi: 10.3758/s13428-016-0738-9.</w:t>
      </w:r>
    </w:p>
    <w:p>
      <w:pPr>
        <w:tabs>
          <w:tab w:pos="720" w:val="left"/>
        </w:tabs>
        <w:spacing w:line="240" w:lineRule="auto" w:after="160"/>
        <w:ind w:left="720" w:hanging="720"/>
        <w:jc w:val="left"/>
      </w:pPr>
      <w:r>
        <w:rPr/>
        <w:t>[42]</w:t>
        <w:tab/>
        <w:t xml:space="preserve">O. V. Komogortsev, D. V. Gobert, S. Jayarathna, D. H. Koh, and S. M. Gowda, “Standardization of automated analyses of oculomotor fixation and saccadic behaviors,” </w:t>
      </w:r>
      <w:r>
        <w:rPr>
          <w:i/>
        </w:rPr>
        <w:t>IEEE Trans. Biomed. Eng.</w:t>
      </w:r>
      <w:r>
        <w:rPr/>
        <w:t>, vol. 57, no. 11, pp. 2635–2645, 2010, doi: 10.1109/TBME.2010.2057429.</w:t>
      </w:r>
    </w:p>
    <w:p>
      <w:pPr>
        <w:tabs>
          <w:tab w:pos="720" w:val="left"/>
        </w:tabs>
        <w:spacing w:line="240" w:lineRule="auto" w:after="160"/>
        <w:ind w:left="720" w:hanging="720"/>
        <w:jc w:val="left"/>
      </w:pPr>
      <w:r>
        <w:rPr/>
        <w:t>[43]</w:t>
        <w:tab/>
        <w:t xml:space="preserve">V. Skaramagkas </w:t>
      </w:r>
      <w:r>
        <w:rPr>
          <w:i/>
        </w:rPr>
        <w:t>et al.</w:t>
      </w:r>
      <w:r>
        <w:rPr/>
        <w:t xml:space="preserve">, “Cognitive workload level estimation based on eye tracking: A machine learning approach,” in </w:t>
      </w:r>
      <w:r>
        <w:rPr>
          <w:i/>
        </w:rPr>
        <w:t>Proc. IEEE Int. Conf. Bioinformatics Bioeng. (BIBE)</w:t>
      </w:r>
      <w:r>
        <w:rPr/>
        <w:t>, 2021, doi: 10.1109/BIBE52308.2021.9635166.</w:t>
      </w:r>
    </w:p>
    <w:p>
      <w:pPr>
        <w:tabs>
          <w:tab w:pos="720" w:val="left"/>
        </w:tabs>
        <w:spacing w:line="240" w:lineRule="auto" w:after="160"/>
        <w:ind w:left="720" w:hanging="720"/>
        <w:jc w:val="left"/>
      </w:pPr>
      <w:r>
        <w:rPr/>
        <w:t>[44]</w:t>
        <w:tab/>
        <w:t xml:space="preserve">W. Fuhl </w:t>
      </w:r>
      <w:r>
        <w:rPr>
          <w:i/>
        </w:rPr>
        <w:t>et al.</w:t>
      </w:r>
      <w:r>
        <w:rPr/>
        <w:t xml:space="preserve">, “A temporally quantized distribution of pupil diameters as a new feature for cognitive load classification,” in </w:t>
      </w:r>
      <w:r>
        <w:rPr>
          <w:i/>
        </w:rPr>
        <w:t>Proc. ACM Symp. Eye Tracking Res. Appl. (ETRA)</w:t>
      </w:r>
      <w:r>
        <w:rPr/>
        <w:t>, 2023, doi: 10.1145/3588015.3590116.</w:t>
      </w:r>
    </w:p>
    <w:p>
      <w:pPr>
        <w:tabs>
          <w:tab w:pos="720" w:val="left"/>
        </w:tabs>
        <w:spacing w:line="240" w:lineRule="auto" w:after="160"/>
        <w:ind w:left="720" w:hanging="720"/>
        <w:jc w:val="left"/>
      </w:pPr>
      <w:r>
        <w:rPr/>
        <w:t>[45]</w:t>
        <w:tab/>
        <w:t xml:space="preserve">S. Wibirama </w:t>
      </w:r>
      <w:r>
        <w:rPr>
          <w:i/>
        </w:rPr>
        <w:t>et al.</w:t>
      </w:r>
      <w:r>
        <w:rPr/>
        <w:t xml:space="preserve">, “Classification of cognitive load using deep learning based on eye movement indices,” </w:t>
      </w:r>
      <w:r>
        <w:rPr>
          <w:i/>
        </w:rPr>
        <w:t>IEEE Access</w:t>
      </w:r>
      <w:r>
        <w:rPr/>
        <w:t>, vol. 13, 2025, doi: 10.1109/ACCESS.2025.3613292.</w:t>
      </w:r>
    </w:p>
    <w:p>
      <w:pPr>
        <w:tabs>
          <w:tab w:pos="720" w:val="left"/>
        </w:tabs>
        <w:spacing w:line="240" w:lineRule="auto" w:after="160"/>
        <w:ind w:left="720" w:hanging="720"/>
        <w:jc w:val="left"/>
      </w:pPr>
      <w:r>
        <w:rPr/>
        <w:t>[46]</w:t>
        <w:tab/>
        <w:t xml:space="preserve">Dell’Acqua, Garofalo, La Rosa, and Villari, “Inferring cognitive workload from symbolic gaze sequences using large language models,” </w:t>
      </w:r>
      <w:r>
        <w:rPr>
          <w:i/>
        </w:rPr>
        <w:t>IEEE Access</w:t>
      </w:r>
      <w:r>
        <w:rPr/>
        <w:t>, 2025, doi: 10.1109/ACCESS.2025.3646271.</w:t>
      </w:r>
    </w:p>
    <w:p>
      <w:pPr>
        <w:tabs>
          <w:tab w:pos="720" w:val="left"/>
        </w:tabs>
        <w:spacing w:line="240" w:lineRule="auto" w:after="160"/>
        <w:ind w:left="720" w:hanging="720"/>
        <w:jc w:val="left"/>
      </w:pPr>
      <w:r>
        <w:rPr/>
        <w:t>[47]</w:t>
        <w:tab/>
        <w:t xml:space="preserve">D. Fenoglio, D. Josifovski, A. Gobbetti, M. Formo, H. Gjoreski, M. Gjoreski, and M. Langheinrich, “Federated learning for privacy-aware cognitive workload estimation,” in </w:t>
      </w:r>
      <w:r>
        <w:rPr>
          <w:i/>
        </w:rPr>
        <w:t>Proc. 22nd Int. Conf. Mobile Ubiquitous Multimedia (MUM)</w:t>
      </w:r>
      <w:r>
        <w:rPr/>
        <w:t>, 2023, pp. 25–36, doi: 10.1145/3626705.3627783.</w:t>
      </w:r>
    </w:p>
    <w:p>
      <w:pPr>
        <w:tabs>
          <w:tab w:pos="720" w:val="left"/>
        </w:tabs>
        <w:spacing w:line="240" w:lineRule="auto" w:after="160"/>
        <w:ind w:left="720" w:hanging="720"/>
        <w:jc w:val="left"/>
      </w:pPr>
      <w:r>
        <w:rPr/>
        <w:t>[48]</w:t>
        <w:tab/>
        <w:t xml:space="preserve">H. Zou and T. Hastie, “Regularization and variable selection via the elastic net,” </w:t>
      </w:r>
      <w:r>
        <w:rPr>
          <w:i/>
        </w:rPr>
        <w:t>J. R. Stat. Soc. Ser. B</w:t>
      </w:r>
      <w:r>
        <w:rPr/>
        <w:t>, vol. 67, no. 2, pp. 301–320, 2005, doi: 10.1111/j.1467-9868.2005.00503.x.</w:t>
      </w:r>
    </w:p>
    <w:p>
      <w:pPr>
        <w:tabs>
          <w:tab w:pos="720" w:val="left"/>
        </w:tabs>
        <w:spacing w:line="240" w:lineRule="auto" w:after="160"/>
        <w:ind w:left="720" w:hanging="720"/>
        <w:jc w:val="left"/>
      </w:pPr>
      <w:r>
        <w:rPr/>
        <w:t>[49]</w:t>
        <w:tab/>
        <w:t xml:space="preserve">L. Grinsztajn, E. Oyallon, and G. Varoquaux, “Why do tree-based models still outperform deep learning on typical tabular data?,” in </w:t>
      </w:r>
      <w:r>
        <w:rPr>
          <w:i/>
        </w:rPr>
        <w:t>Proc. NeurIPS Datasets Benchmarks Track</w:t>
      </w:r>
      <w:r>
        <w:rPr/>
        <w:t>, 2022, pp. 507–520.</w:t>
      </w:r>
    </w:p>
    <w:p>
      <w:pPr>
        <w:tabs>
          <w:tab w:pos="720" w:val="left"/>
        </w:tabs>
        <w:spacing w:line="240" w:lineRule="auto" w:after="160"/>
        <w:ind w:left="720" w:hanging="720"/>
        <w:jc w:val="left"/>
      </w:pPr>
      <w:r>
        <w:rPr/>
        <w:t>[50]</w:t>
        <w:tab/>
        <w:t xml:space="preserve">F. Walocha, A. Schrank, H. P. Nguyen, and K. Ihme, “Multimodal assessment of mental workload during automated vehicle remote assistance,” </w:t>
      </w:r>
      <w:r>
        <w:rPr>
          <w:i/>
        </w:rPr>
        <w:t>Information</w:t>
      </w:r>
      <w:r>
        <w:rPr/>
        <w:t>, vol. 16, no. 1, Art. no. 64, 2025, doi: 10.3390/info16010064.</w:t>
      </w:r>
    </w:p>
    <w:p>
      <w:pPr>
        <w:tabs>
          <w:tab w:pos="720" w:val="left"/>
        </w:tabs>
        <w:spacing w:line="240" w:lineRule="auto" w:after="160"/>
        <w:ind w:left="720" w:hanging="720"/>
        <w:jc w:val="left"/>
      </w:pPr>
      <w:r>
        <w:rPr/>
        <w:t>[51]</w:t>
        <w:tab/>
        <w:t xml:space="preserve">S. Chakraborty, P. Kiefer, and M. Raubal, “Estimating perceived mental workload from eye-tracking data based on benign anisocoria,” </w:t>
      </w:r>
      <w:r>
        <w:rPr>
          <w:i/>
        </w:rPr>
        <w:t>IEEE Trans. Hum.-Mach. Syst.</w:t>
      </w:r>
      <w:r>
        <w:rPr/>
        <w:t>, vol. 54, no. 5, pp. 499–507, 2024, doi: 10.1109/THMS.2024.3432864.</w:t>
      </w:r>
    </w:p>
    <w:p>
      <w:pPr>
        <w:tabs>
          <w:tab w:pos="720" w:val="left"/>
        </w:tabs>
        <w:spacing w:line="240" w:lineRule="auto" w:after="160"/>
        <w:ind w:left="720" w:hanging="720"/>
        <w:jc w:val="left"/>
      </w:pPr>
      <w:r>
        <w:rPr/>
        <w:t>[52]</w:t>
        <w:tab/>
        <w:t xml:space="preserve">M. A. Little </w:t>
      </w:r>
      <w:r>
        <w:rPr>
          <w:i/>
        </w:rPr>
        <w:t>et al.</w:t>
      </w:r>
      <w:r>
        <w:rPr/>
        <w:t xml:space="preserve">, “Using and understanding cross-validation strategies. Perspectives on Saeb et al.,” </w:t>
      </w:r>
      <w:r>
        <w:rPr>
          <w:i/>
        </w:rPr>
        <w:t>GigaScience</w:t>
      </w:r>
      <w:r>
        <w:rPr/>
        <w:t>, vol. 6, no. 5, 2017, doi: 10.1093/gigascience/gix020.</w:t>
      </w:r>
    </w:p>
    <w:p>
      <w:pPr>
        <w:tabs>
          <w:tab w:pos="720" w:val="left"/>
        </w:tabs>
        <w:spacing w:line="240" w:lineRule="auto" w:after="160"/>
        <w:ind w:left="720" w:hanging="720"/>
        <w:jc w:val="left"/>
      </w:pPr>
      <w:r>
        <w:rPr/>
        <w:t>[53]</w:t>
        <w:tab/>
        <w:t xml:space="preserve">S. Varma and R. Simon, “Bias in error estimation when using cross-validation for model selection,” </w:t>
      </w:r>
      <w:r>
        <w:rPr>
          <w:i/>
        </w:rPr>
        <w:t>BMC Bioinformatics</w:t>
      </w:r>
      <w:r>
        <w:rPr/>
        <w:t>, vol. 7, Art. no. 91, 2006, doi: 10.1186/1471-2105-7-91.</w:t>
      </w:r>
    </w:p>
    <w:p>
      <w:pPr>
        <w:tabs>
          <w:tab w:pos="720" w:val="left"/>
        </w:tabs>
        <w:spacing w:line="240" w:lineRule="auto" w:after="160"/>
        <w:ind w:left="720" w:hanging="720"/>
        <w:jc w:val="left"/>
      </w:pPr>
      <w:r>
        <w:rPr/>
        <w:t>[54]</w:t>
        <w:tab/>
        <w:t xml:space="preserve">G. Varoquaux </w:t>
      </w:r>
      <w:r>
        <w:rPr>
          <w:i/>
        </w:rPr>
        <w:t>et al.</w:t>
      </w:r>
      <w:r>
        <w:rPr/>
        <w:t xml:space="preserve">, “Assessing and tuning brain decoders: Cross-validation, caveats, and guidelines,” </w:t>
      </w:r>
      <w:r>
        <w:rPr>
          <w:i/>
        </w:rPr>
        <w:t>NeuroImage</w:t>
      </w:r>
      <w:r>
        <w:rPr/>
        <w:t>, vol. 145, pp. 166–179, 2017, doi: 10.1016/j.neuroimage.2016.10.038.</w:t>
      </w:r>
    </w:p>
    <w:p>
      <w:pPr>
        <w:tabs>
          <w:tab w:pos="720" w:val="left"/>
        </w:tabs>
        <w:spacing w:line="240" w:lineRule="auto" w:after="160"/>
        <w:ind w:left="720" w:hanging="720"/>
        <w:jc w:val="left"/>
      </w:pPr>
      <w:r>
        <w:rPr/>
        <w:t>[55]</w:t>
        <w:tab/>
        <w:t xml:space="preserve">M. P. Oppelt </w:t>
      </w:r>
      <w:r>
        <w:rPr>
          <w:i/>
        </w:rPr>
        <w:t>et al.</w:t>
      </w:r>
      <w:r>
        <w:rPr/>
        <w:t xml:space="preserve">, “ADABase: A multimodal dataset for cognitive load estimation,” </w:t>
      </w:r>
      <w:r>
        <w:rPr>
          <w:i/>
        </w:rPr>
        <w:t>Sensors</w:t>
      </w:r>
      <w:r>
        <w:rPr/>
        <w:t>, vol. 23, no. 1, Art. no. 340, 2023, doi: 10.3390/s23010340.</w:t>
      </w:r>
    </w:p>
    <w:p>
      <w:pPr>
        <w:tabs>
          <w:tab w:pos="720" w:val="left"/>
        </w:tabs>
        <w:spacing w:line="240" w:lineRule="auto" w:after="160"/>
        <w:ind w:left="720" w:hanging="720"/>
        <w:jc w:val="left"/>
      </w:pPr>
      <w:r>
        <w:rPr/>
        <w:t>[56]</w:t>
        <w:tab/>
        <w:t xml:space="preserve">S. Gado, K. Lingelbach, M. Wirzberger, and M. Vukelić, “Decoding mental effort in a quasi-realistic scenario: A feasibility study on multimodal data fusion and classification,” </w:t>
      </w:r>
      <w:r>
        <w:rPr>
          <w:i/>
        </w:rPr>
        <w:t>Sensors</w:t>
      </w:r>
      <w:r>
        <w:rPr/>
        <w:t>, vol. 23, no. 14, Art. no. 6546, 2023, doi: 10.3390/s23146546.</w:t>
      </w:r>
    </w:p>
    <w:p>
      <w:pPr>
        <w:tabs>
          <w:tab w:pos="720" w:val="left"/>
        </w:tabs>
        <w:spacing w:line="240" w:lineRule="auto" w:after="160"/>
        <w:ind w:left="720" w:hanging="720"/>
        <w:jc w:val="left"/>
      </w:pPr>
      <w:r>
        <w:rPr/>
        <w:t>[57]</w:t>
        <w:tab/>
        <w:t xml:space="preserve">T. Appel </w:t>
      </w:r>
      <w:r>
        <w:rPr>
          <w:i/>
        </w:rPr>
        <w:t>et al.</w:t>
      </w:r>
      <w:r>
        <w:rPr/>
        <w:t xml:space="preserve">, “Cross-task and cross-participant classification of cognitive load in an emergency simulation game,” </w:t>
      </w:r>
      <w:r>
        <w:rPr>
          <w:i/>
        </w:rPr>
        <w:t>IEEE Trans. Affect. Comput.</w:t>
      </w:r>
      <w:r>
        <w:rPr/>
        <w:t>, 2023, doi: 10.1109/TAFFC.2021.3098237.</w:t>
      </w:r>
    </w:p>
    <w:p>
      <w:pPr>
        <w:tabs>
          <w:tab w:pos="720" w:val="left"/>
        </w:tabs>
        <w:spacing w:line="240" w:lineRule="auto" w:after="160"/>
        <w:ind w:left="720" w:hanging="720"/>
        <w:jc w:val="left"/>
      </w:pPr>
      <w:r>
        <w:rPr/>
        <w:t>[58]</w:t>
        <w:tab/>
        <w:t xml:space="preserve">I. Albuquerque, J. Monteiro, O. Rosanne, and T. H. Falk, “Estimating distribution shifts for predicting cross-subject generalization in electroencephalography-based mental workload assessment,” </w:t>
      </w:r>
      <w:r>
        <w:rPr>
          <w:i/>
        </w:rPr>
        <w:t>Front. Artif. Intell.</w:t>
      </w:r>
      <w:r>
        <w:rPr/>
        <w:t>, vol. 5, 2022, doi: 10.3389/frai.2022.992732.</w:t>
      </w:r>
    </w:p>
    <w:p>
      <w:pPr>
        <w:tabs>
          <w:tab w:pos="720" w:val="left"/>
        </w:tabs>
        <w:spacing w:line="240" w:lineRule="auto" w:after="160"/>
        <w:ind w:left="720" w:hanging="720"/>
        <w:jc w:val="left"/>
      </w:pPr>
      <w:r>
        <w:rPr/>
        <w:t>[59]</w:t>
        <w:tab/>
        <w:t xml:space="preserve">A. Gelman, “Scaling regression inputs by dividing by two standard deviations,” </w:t>
      </w:r>
      <w:r>
        <w:rPr>
          <w:i/>
        </w:rPr>
        <w:t>Stat. Med.</w:t>
      </w:r>
      <w:r>
        <w:rPr/>
        <w:t>, vol. 27, no. 15, pp. 2865–2873, 2008, doi: 10.1002/sim.3107.</w:t>
      </w:r>
    </w:p>
    <w:p>
      <w:pPr>
        <w:tabs>
          <w:tab w:pos="720" w:val="left"/>
        </w:tabs>
        <w:spacing w:line="240" w:lineRule="auto" w:after="160"/>
        <w:ind w:left="720" w:hanging="720"/>
        <w:jc w:val="left"/>
      </w:pPr>
      <w:r>
        <w:rPr/>
        <w:t>[60]</w:t>
        <w:tab/>
        <w:t xml:space="preserve">C. Strobl, A.-L. Boulesteix, A. Zeileis, and T. Hothorn, “Bias in random forest variable importance measures: Illustrations, sources and a solution,” </w:t>
      </w:r>
      <w:r>
        <w:rPr>
          <w:i/>
        </w:rPr>
        <w:t>BMC Bioinformatics</w:t>
      </w:r>
      <w:r>
        <w:rPr/>
        <w:t>, vol. 8, Art. no. 25, 2007, doi: 10.1186/1471-2105-8-25.</w:t>
      </w:r>
    </w:p>
    <w:p>
      <w:pPr>
        <w:tabs>
          <w:tab w:pos="720" w:val="left"/>
        </w:tabs>
        <w:spacing w:line="240" w:lineRule="auto" w:after="160"/>
        <w:ind w:left="720" w:hanging="720"/>
        <w:jc w:val="left"/>
      </w:pPr>
      <w:r>
        <w:rPr/>
        <w:t>[61]</w:t>
        <w:tab/>
        <w:t xml:space="preserve">C. Molnar </w:t>
      </w:r>
      <w:r>
        <w:rPr>
          <w:i/>
        </w:rPr>
        <w:t>et al.</w:t>
      </w:r>
      <w:r>
        <w:rPr/>
        <w:t xml:space="preserve">, “General pitfalls of model-agnostic interpretation methods for machine learning models,” in </w:t>
      </w:r>
      <w:r>
        <w:rPr>
          <w:i/>
        </w:rPr>
        <w:t>xxAI – Beyond Explainable AI</w:t>
      </w:r>
      <w:r>
        <w:rPr/>
        <w:t xml:space="preserve"> (LNAI 13200). Cham, Switzerland: Springer, 2022, pp. 39–68, doi: 10.1007/978-3-031-04083-2_4.</w:t>
      </w:r>
    </w:p>
    <w:p>
      <w:pPr>
        <w:tabs>
          <w:tab w:pos="720" w:val="left"/>
        </w:tabs>
        <w:spacing w:line="240" w:lineRule="auto" w:after="160"/>
        <w:ind w:left="720" w:hanging="720"/>
        <w:jc w:val="left"/>
      </w:pPr>
      <w:r>
        <w:rPr/>
        <w:t>[62]</w:t>
        <w:tab/>
        <w:t xml:space="preserve">R. Xu </w:t>
      </w:r>
      <w:r>
        <w:rPr>
          <w:i/>
        </w:rPr>
        <w:t>et al.</w:t>
      </w:r>
      <w:r>
        <w:rPr/>
        <w:t xml:space="preserve">, “Consumer-grade wearable sensors for classifying pilot workload and stress during real flight training: A leave-one-subject-out validation study,” </w:t>
      </w:r>
      <w:r>
        <w:rPr>
          <w:i/>
        </w:rPr>
        <w:t>Sensors</w:t>
      </w:r>
      <w:r>
        <w:rPr/>
        <w:t>, vol. 26, no. 12, Art. no. 3627, 2026, doi: 10.3390/s26123627.</w:t>
      </w:r>
    </w:p>
    <w:p>
      <w:pPr>
        <w:tabs>
          <w:tab w:pos="720" w:val="left"/>
        </w:tabs>
        <w:spacing w:line="240" w:lineRule="auto" w:after="160"/>
        <w:ind w:left="720" w:hanging="720"/>
        <w:jc w:val="left"/>
      </w:pPr>
      <w:r>
        <w:rPr/>
        <w:t>[63]</w:t>
        <w:tab/>
        <w:t xml:space="preserve">M. A. Hogervorst, A.-M. Brouwer, and J. B. F. van Erp, “Combining and comparing EEG, peripheral physiology and eye-related measures for the assessment of mental workload,” </w:t>
      </w:r>
      <w:r>
        <w:rPr>
          <w:i/>
        </w:rPr>
        <w:t>Front. Neurosci.</w:t>
      </w:r>
      <w:r>
        <w:rPr/>
        <w:t>, vol. 8, Art. no. 322, 2014, doi: 10.3389/fnins.2014.00322.</w:t>
      </w:r>
    </w:p>
    <w:p>
      <w:pPr>
        <w:tabs>
          <w:tab w:pos="720" w:val="left"/>
        </w:tabs>
        <w:spacing w:line="240" w:lineRule="auto" w:after="160"/>
        <w:ind w:left="720" w:hanging="720"/>
        <w:jc w:val="left"/>
      </w:pPr>
      <w:r>
        <w:rPr/>
        <w:t>[64]</w:t>
        <w:tab/>
        <w:t xml:space="preserve">C. Wu, J. Cha, J. Sulek, T. Zhou, C. Sundaram, J. Wachs, and D. Yu, “Eye-tracking metrics predict perceived workload in robotic surgical skills training,” </w:t>
      </w:r>
      <w:r>
        <w:rPr>
          <w:i/>
        </w:rPr>
        <w:t>Hum. Factors</w:t>
      </w:r>
      <w:r>
        <w:rPr/>
        <w:t>, vol. 62, no. 8, pp. 1365–1386, 2020, doi: 10.1177/0018720819874544.</w:t>
      </w:r>
    </w:p>
    <w:p>
      <w:pPr>
        <w:tabs>
          <w:tab w:pos="720" w:val="left"/>
        </w:tabs>
        <w:spacing w:line="240" w:lineRule="auto" w:after="160"/>
        <w:ind w:left="720" w:hanging="720"/>
        <w:jc w:val="left"/>
      </w:pPr>
      <w:r>
        <w:rPr/>
        <w:t>[65]</w:t>
        <w:tab/>
        <w:t xml:space="preserve">M. Kassner, W. Patera, and A. Bulling, “Pupil: An open source platform for pervasive eye tracking and mobile gaze-based interaction,” in </w:t>
      </w:r>
      <w:r>
        <w:rPr>
          <w:i/>
        </w:rPr>
        <w:t>Proc. ACM UbiComp Adjunct</w:t>
      </w:r>
      <w:r>
        <w:rPr/>
        <w:t>, 2014, pp. 1151–1160, doi: 10.1145/2638728.2641695.</w:t>
      </w:r>
    </w:p>
    <w:p>
      <w:pPr>
        <w:tabs>
          <w:tab w:pos="720" w:val="left"/>
        </w:tabs>
        <w:spacing w:line="240" w:lineRule="auto" w:after="160"/>
        <w:ind w:left="720" w:hanging="720"/>
        <w:jc w:val="left"/>
      </w:pPr>
      <w:r>
        <w:rPr/>
        <w:t>[66]</w:t>
        <w:tab/>
        <w:t xml:space="preserve">F. Nenna, V. Orso, D. Zanardi, and L. Gamberini, “The virtualization of human–robot interactions: A user-centric workload assessment,” </w:t>
      </w:r>
      <w:r>
        <w:rPr>
          <w:i/>
        </w:rPr>
        <w:t>Virtual Reality</w:t>
      </w:r>
      <w:r>
        <w:rPr/>
        <w:t>, vol. 27, no. 2, pp. 553–571, 2023, doi: 10.1007/s10055-022-00667-x.</w:t>
      </w:r>
    </w:p>
    <w:p>
      <w:pPr>
        <w:tabs>
          <w:tab w:pos="720" w:val="left"/>
        </w:tabs>
        <w:spacing w:line="240" w:lineRule="auto" w:after="160"/>
        <w:ind w:left="720" w:hanging="720"/>
        <w:jc w:val="left"/>
      </w:pPr>
      <w:r>
        <w:rPr/>
        <w:t>[67]</w:t>
        <w:tab/>
        <w:t xml:space="preserve">R. Hershman, A. Henik, and N. Cohen, “A novel blink detection method based on pupillometry noise,” </w:t>
      </w:r>
      <w:r>
        <w:rPr>
          <w:i/>
        </w:rPr>
        <w:t>Behav. Res. Methods</w:t>
      </w:r>
      <w:r>
        <w:rPr/>
        <w:t>, vol. 50, no. 1, pp. 107–114, 2018, doi: 10.3758/s13428-017-1008-1.</w:t>
      </w:r>
    </w:p>
    <w:p>
      <w:pPr>
        <w:tabs>
          <w:tab w:pos="720" w:val="left"/>
        </w:tabs>
        <w:spacing w:line="240" w:lineRule="auto" w:after="160"/>
        <w:ind w:left="720" w:hanging="720"/>
        <w:jc w:val="left"/>
      </w:pPr>
      <w:r>
        <w:rPr/>
        <w:t>[68]</w:t>
        <w:tab/>
        <w:t xml:space="preserve">S. R. Steinhauer, M. M. Bradley, G. J. Siegle, K. A. Roecklein, and A. Dix, “Publication guidelines and recommendations for pupillary measurement in psychophysiological studies,” </w:t>
      </w:r>
      <w:r>
        <w:rPr>
          <w:i/>
        </w:rPr>
        <w:t>Psychophysiology</w:t>
      </w:r>
      <w:r>
        <w:rPr/>
        <w:t>, vol. 59, no. 4, Art. no. e14035, 2022, doi: 10.1111/psyp.14035.</w:t>
      </w:r>
    </w:p>
    <w:p>
      <w:pPr>
        <w:tabs>
          <w:tab w:pos="720" w:val="left"/>
        </w:tabs>
        <w:spacing w:line="240" w:lineRule="auto" w:after="160"/>
        <w:ind w:left="720" w:hanging="720"/>
        <w:jc w:val="left"/>
      </w:pPr>
      <w:r>
        <w:rPr/>
        <w:t>[69]</w:t>
        <w:tab/>
        <w:t xml:space="preserve">B. Petersch and K. Dierkes, “Gaze-angle dependency of pupil-size measurements in head-mounted eye tracking,” </w:t>
      </w:r>
      <w:r>
        <w:rPr>
          <w:i/>
        </w:rPr>
        <w:t>Behav. Res. Methods</w:t>
      </w:r>
      <w:r>
        <w:rPr/>
        <w:t>, vol. 54, no. 2, pp. 763–779, 2022, doi: 10.3758/s13428-021-01657-8.</w:t>
      </w:r>
    </w:p>
    <w:p>
      <w:pPr>
        <w:tabs>
          <w:tab w:pos="720" w:val="left"/>
        </w:tabs>
        <w:spacing w:line="240" w:lineRule="auto" w:after="160"/>
        <w:ind w:left="720" w:hanging="720"/>
        <w:jc w:val="left"/>
      </w:pPr>
      <w:r>
        <w:rPr/>
        <w:t>[70]</w:t>
        <w:tab/>
        <w:t xml:space="preserve">I. T. C. Hooge, R. S. Hessels, and M. Nyström, “Do pupil-based binocular video eye trackers reliably measure vergence?,” </w:t>
      </w:r>
      <w:r>
        <w:rPr>
          <w:i/>
        </w:rPr>
        <w:t>Vision Res.</w:t>
      </w:r>
      <w:r>
        <w:rPr/>
        <w:t>, vol. 156, pp. 1–9, 2019, doi: 10.1016/j.visres.2019.01.004.</w:t>
      </w:r>
    </w:p>
    <w:p>
      <w:pPr>
        <w:tabs>
          <w:tab w:pos="720" w:val="left"/>
        </w:tabs>
        <w:spacing w:line="240" w:lineRule="auto" w:after="160"/>
        <w:ind w:left="720" w:hanging="720"/>
        <w:jc w:val="left"/>
      </w:pPr>
      <w:r>
        <w:rPr/>
        <w:t>[71]</w:t>
        <w:tab/>
        <w:t xml:space="preserve">A. Velisar and N. M. Shanidze, “Noise estimation for head-mounted 3D binocular eye tracking using Pupil Core eye-tracking goggles,” </w:t>
      </w:r>
      <w:r>
        <w:rPr>
          <w:i/>
        </w:rPr>
        <w:t>Behav. Res. Methods</w:t>
      </w:r>
      <w:r>
        <w:rPr/>
        <w:t>, vol. 56, no. 1, pp. 53–79, 2024, doi: 10.3758/s13428-023-02150-0.</w:t>
      </w:r>
    </w:p>
    <w:p>
      <w:pPr>
        <w:tabs>
          <w:tab w:pos="720" w:val="left"/>
        </w:tabs>
        <w:spacing w:line="240" w:lineRule="auto" w:after="160"/>
        <w:ind w:left="720" w:hanging="720"/>
        <w:jc w:val="left"/>
      </w:pPr>
      <w:r>
        <w:rPr/>
        <w:t>[72]</w:t>
        <w:tab/>
        <w:t xml:space="preserve">R. Kothari </w:t>
      </w:r>
      <w:r>
        <w:rPr>
          <w:i/>
        </w:rPr>
        <w:t>et al.</w:t>
      </w:r>
      <w:r>
        <w:rPr/>
        <w:t xml:space="preserve">, “Gaze-in-wild: A dataset for studying eye and head coordination in everyday activities,” </w:t>
      </w:r>
      <w:r>
        <w:rPr>
          <w:i/>
        </w:rPr>
        <w:t>Sci. Rep.</w:t>
      </w:r>
      <w:r>
        <w:rPr/>
        <w:t>, vol. 10, Art. no. 2539, 2020, doi: 10.1038/s41598-020-59251-5.</w:t>
      </w:r>
    </w:p>
    <w:p>
      <w:pPr>
        <w:tabs>
          <w:tab w:pos="720" w:val="left"/>
        </w:tabs>
        <w:spacing w:line="240" w:lineRule="auto" w:after="160"/>
        <w:ind w:left="720" w:hanging="720"/>
        <w:jc w:val="left"/>
      </w:pPr>
      <w:r>
        <w:rPr/>
        <w:t>[73]</w:t>
        <w:tab/>
        <w:t xml:space="preserve">A. T. Duchowski, </w:t>
      </w:r>
      <w:r>
        <w:rPr>
          <w:i/>
        </w:rPr>
        <w:t>Eye Tracking Methodology: Theory and Practice</w:t>
      </w:r>
      <w:r>
        <w:rPr/>
        <w:t>, 3rd ed. Cham, Switzerland: Springer, 2017, doi: 10.1007/978-3-319-57883-5.</w:t>
      </w:r>
    </w:p>
    <w:p>
      <w:pPr>
        <w:tabs>
          <w:tab w:pos="720" w:val="left"/>
        </w:tabs>
        <w:spacing w:line="240" w:lineRule="auto" w:after="160"/>
        <w:ind w:left="720" w:hanging="720"/>
        <w:jc w:val="left"/>
      </w:pPr>
      <w:r>
        <w:rPr/>
        <w:t>[74]</w:t>
        <w:tab/>
        <w:t xml:space="preserve">P. Hausamann, C. Sinnott, and P. R. MacNeilage, “Positional head-eye tracking outside the lab: An open-source solution,” in </w:t>
      </w:r>
      <w:r>
        <w:rPr>
          <w:i/>
        </w:rPr>
        <w:t>Proc. ACM Symp. Eye Tracking Res. Appl. (ETRA)</w:t>
      </w:r>
      <w:r>
        <w:rPr/>
        <w:t>, 2020, doi: 10.1145/3379156.3391365.</w:t>
      </w:r>
    </w:p>
    <w:p>
      <w:pPr>
        <w:tabs>
          <w:tab w:pos="720" w:val="left"/>
        </w:tabs>
        <w:spacing w:line="240" w:lineRule="auto" w:after="160"/>
        <w:ind w:left="720" w:hanging="720"/>
        <w:jc w:val="left"/>
      </w:pPr>
      <w:r>
        <w:rPr/>
        <w:t>[75]</w:t>
        <w:tab/>
        <w:t xml:space="preserve">J. Trabulsi </w:t>
      </w:r>
      <w:r>
        <w:rPr>
          <w:i/>
        </w:rPr>
        <w:t>et al.</w:t>
      </w:r>
      <w:r>
        <w:rPr/>
        <w:t xml:space="preserve">, “Optimizing fixation filters for eye-tracking on small screens,” </w:t>
      </w:r>
      <w:r>
        <w:rPr>
          <w:i/>
        </w:rPr>
        <w:t>Front. Neurosci.</w:t>
      </w:r>
      <w:r>
        <w:rPr/>
        <w:t>, vol. 15, Art. no. 578439, 2021, doi: 10.3389/fnins.2021.578439.</w:t>
      </w:r>
    </w:p>
    <w:p>
      <w:pPr>
        <w:tabs>
          <w:tab w:pos="720" w:val="left"/>
        </w:tabs>
        <w:spacing w:line="240" w:lineRule="auto" w:after="160"/>
        <w:ind w:left="720" w:hanging="720"/>
        <w:jc w:val="left"/>
      </w:pPr>
      <w:r>
        <w:rPr/>
        <w:t>[76]</w:t>
        <w:tab/>
        <w:t xml:space="preserve">C. F. Dormann </w:t>
      </w:r>
      <w:r>
        <w:rPr>
          <w:i/>
        </w:rPr>
        <w:t>et al.</w:t>
      </w:r>
      <w:r>
        <w:rPr/>
        <w:t xml:space="preserve">, “Collinearity: A review of methods to deal with it and a simulation study evaluating their performance,” </w:t>
      </w:r>
      <w:r>
        <w:rPr>
          <w:i/>
        </w:rPr>
        <w:t>Ecography</w:t>
      </w:r>
      <w:r>
        <w:rPr/>
        <w:t>, vol. 36, no. 1, pp. 27–46, 2013, doi: 10.1111/j.1600-0587.2012.07348.x.</w:t>
      </w:r>
    </w:p>
    <w:p>
      <w:pPr>
        <w:tabs>
          <w:tab w:pos="720" w:val="left"/>
        </w:tabs>
        <w:spacing w:line="240" w:lineRule="auto" w:after="160"/>
        <w:ind w:left="720" w:hanging="720"/>
        <w:jc w:val="left"/>
      </w:pPr>
      <w:r>
        <w:rPr/>
        <w:t>[77]</w:t>
        <w:tab/>
        <w:t xml:space="preserve">A. Perez-Lebel, G. Varoquaux, M. Le Morvan, J. Josse, and J.-B. Poline, “Benchmarking missing-values approaches for predictive models on health databases,” </w:t>
      </w:r>
      <w:r>
        <w:rPr>
          <w:i/>
        </w:rPr>
        <w:t>GigaScience</w:t>
      </w:r>
      <w:r>
        <w:rPr/>
        <w:t>, vol. 11, Art. no. giac013, 2022, doi: 10.1093/gigascience/giac013.</w:t>
      </w:r>
    </w:p>
    <w:p>
      <w:pPr>
        <w:tabs>
          <w:tab w:pos="720" w:val="left"/>
        </w:tabs>
        <w:spacing w:line="240" w:lineRule="auto" w:after="160"/>
        <w:ind w:left="720" w:hanging="720"/>
        <w:jc w:val="left"/>
      </w:pPr>
      <w:r>
        <w:rPr/>
        <w:t>[78]</w:t>
        <w:tab/>
        <w:t xml:space="preserve">T. Fawcett, “An introduction to ROC analysis,” </w:t>
      </w:r>
      <w:r>
        <w:rPr>
          <w:i/>
        </w:rPr>
        <w:t>Pattern Recognit. Lett.</w:t>
      </w:r>
      <w:r>
        <w:rPr/>
        <w:t>, vol. 27, no. 8, pp. 861–874, 2006, doi: 10.1016/j.patrec.2005.10.010.</w:t>
      </w:r>
    </w:p>
    <w:p>
      <w:pPr>
        <w:tabs>
          <w:tab w:pos="720" w:val="left"/>
        </w:tabs>
        <w:spacing w:line="240" w:lineRule="auto" w:after="160"/>
        <w:ind w:left="720" w:hanging="720"/>
        <w:jc w:val="left"/>
      </w:pPr>
      <w:r>
        <w:rPr/>
        <w:t>[79]</w:t>
        <w:tab/>
        <w:t xml:space="preserve">A. Niculescu-Mizil and R. Caruana, “Predicting good probabilities with supervised learning,” in </w:t>
      </w:r>
      <w:r>
        <w:rPr>
          <w:i/>
        </w:rPr>
        <w:t>Proc. 22nd Int. Conf. Mach. Learn. (ICML)</w:t>
      </w:r>
      <w:r>
        <w:rPr/>
        <w:t>, 2005, pp. 625–632, doi: 10.1145/1102351.1102430.</w:t>
      </w:r>
    </w:p>
    <w:p>
      <w:pPr>
        <w:tabs>
          <w:tab w:pos="720" w:val="left"/>
        </w:tabs>
        <w:spacing w:line="240" w:lineRule="auto" w:after="160"/>
        <w:ind w:left="720" w:hanging="720"/>
        <w:jc w:val="left"/>
      </w:pPr>
      <w:r>
        <w:rPr/>
        <w:t>[80]</w:t>
        <w:tab/>
        <w:t xml:space="preserve">B. Van Calster, D. J. McLernon, M. van Smeden, L. Wynants, and E. W. Steyerberg, “Calibration: The Achilles heel of predictive analytics,” </w:t>
      </w:r>
      <w:r>
        <w:rPr>
          <w:i/>
        </w:rPr>
        <w:t>BMC Med.</w:t>
      </w:r>
      <w:r>
        <w:rPr/>
        <w:t>, vol. 17, Art. no. 230, 2019, doi: 10.1186/s12916-019-1466-7.</w:t>
      </w:r>
    </w:p>
    <w:p>
      <w:pPr>
        <w:tabs>
          <w:tab w:pos="720" w:val="left"/>
        </w:tabs>
        <w:spacing w:line="240" w:lineRule="auto" w:after="160"/>
        <w:ind w:left="720" w:hanging="720"/>
        <w:jc w:val="left"/>
      </w:pPr>
      <w:r>
        <w:rPr/>
        <w:t>[81]</w:t>
        <w:tab/>
        <w:t xml:space="preserve">J. Demšar, “Statistical comparisons of classifiers over multiple data sets,” </w:t>
      </w:r>
      <w:r>
        <w:rPr>
          <w:i/>
        </w:rPr>
        <w:t>J. Mach. Learn. Res.</w:t>
      </w:r>
      <w:r>
        <w:rPr/>
        <w:t>, vol. 7, pp. 1–30, 2006.</w:t>
      </w:r>
    </w:p>
    <w:p>
      <w:pPr>
        <w:tabs>
          <w:tab w:pos="720" w:val="left"/>
        </w:tabs>
        <w:spacing w:line="240" w:lineRule="auto" w:after="160"/>
        <w:ind w:left="720" w:hanging="720"/>
        <w:jc w:val="left"/>
      </w:pPr>
      <w:r>
        <w:rPr/>
        <w:t>[82]</w:t>
        <w:tab/>
        <w:t xml:space="preserve">A. Altmann, L. Toloşi, O. Sander, and T. Lengauer, “Permutation importance: A corrected feature importance measure,” </w:t>
      </w:r>
      <w:r>
        <w:rPr>
          <w:i/>
        </w:rPr>
        <w:t>Bioinformatics</w:t>
      </w:r>
      <w:r>
        <w:rPr/>
        <w:t>, vol. 26, no. 10, pp. 1340–1347, 2010, doi: 10.1093/bioinformatics/btq134.</w:t>
      </w:r>
    </w:p>
    <w:p>
      <w:pPr>
        <w:tabs>
          <w:tab w:pos="720" w:val="left"/>
        </w:tabs>
        <w:spacing w:line="240" w:lineRule="auto" w:after="160"/>
        <w:ind w:left="720" w:hanging="720"/>
        <w:jc w:val="left"/>
      </w:pPr>
      <w:r>
        <w:rPr/>
        <w:t>[83]</w:t>
        <w:tab/>
        <w:t xml:space="preserve">S. Nogueira, K. Sechidis, and G. Brown, “On the stability of feature selection algorithms,” </w:t>
      </w:r>
      <w:r>
        <w:rPr>
          <w:i/>
        </w:rPr>
        <w:t>J. Mach. Learn. Res.</w:t>
      </w:r>
      <w:r>
        <w:rPr/>
        <w:t>, vol. 18, no. 174, pp. 1–54, 2018.</w:t>
      </w:r>
    </w:p>
    <w:p>
      <w:pPr>
        <w:tabs>
          <w:tab w:pos="720" w:val="left"/>
        </w:tabs>
        <w:spacing w:line="240" w:lineRule="auto" w:after="160"/>
        <w:ind w:left="720" w:hanging="720"/>
        <w:jc w:val="left"/>
      </w:pPr>
      <w:r>
        <w:rPr/>
        <w:t>[84]</w:t>
        <w:tab/>
        <w:t xml:space="preserve">P. Pluchino </w:t>
      </w:r>
      <w:r>
        <w:rPr>
          <w:i/>
        </w:rPr>
        <w:t>et al.</w:t>
      </w:r>
      <w:r>
        <w:rPr/>
        <w:t xml:space="preserve">, “Advanced workstations and collaborative robots: Exploiting eye-tracking and cardiac activity indices to unveil senior workers’ mental workload in assembly tasks,” </w:t>
      </w:r>
      <w:r>
        <w:rPr>
          <w:i/>
        </w:rPr>
        <w:t>Front. Robot. AI</w:t>
      </w:r>
      <w:r>
        <w:rPr/>
        <w:t>, vol. 10, Art. no. 1275572, 2023, doi: 10.3389/frobt.2023.1275572.</w:t>
      </w:r>
    </w:p>
    <w:p>
      <w:pPr>
        <w:tabs>
          <w:tab w:pos="720" w:val="left"/>
        </w:tabs>
        <w:spacing w:line="240" w:lineRule="auto" w:after="160"/>
        <w:ind w:left="720" w:hanging="720"/>
        <w:jc w:val="left"/>
      </w:pPr>
      <w:r>
        <w:rPr/>
        <w:t>[85]</w:t>
        <w:tab/>
        <w:t xml:space="preserve">T. Appel, C. Scharinger, P. Gerjets, and E. Kasneci, “Cross-subject workload classification using pupil-related measures,” in </w:t>
      </w:r>
      <w:r>
        <w:rPr>
          <w:i/>
        </w:rPr>
        <w:t>Proc. ACM Symp. Eye Tracking Res. Appl. (ETRA)</w:t>
      </w:r>
      <w:r>
        <w:rPr/>
        <w:t>, 2018, doi: 10.1145/3204493.3204531.</w:t>
      </w:r>
    </w:p>
    <w:p>
      <w:pPr>
        <w:tabs>
          <w:tab w:pos="720" w:val="left"/>
        </w:tabs>
        <w:spacing w:line="240" w:lineRule="auto" w:after="160"/>
        <w:ind w:left="720" w:hanging="720"/>
        <w:jc w:val="left"/>
      </w:pPr>
      <w:r>
        <w:rPr/>
        <w:t>[86]</w:t>
        <w:tab/>
        <w:t xml:space="preserve">M. Stolte, B. Gollan, and U. Ansorge, “Tracking visual search demands and memory load through pupil dilation,” </w:t>
      </w:r>
      <w:r>
        <w:rPr>
          <w:i/>
        </w:rPr>
        <w:t>J. Vis.</w:t>
      </w:r>
      <w:r>
        <w:rPr/>
        <w:t>, vol. 20, no. 6, Art. no. 21, 2020, doi: 10.1167/jov.20.6.21.</w:t>
      </w:r>
    </w:p>
    <w:sectPr w:rsidR="00FC693F" w:rsidRPr="0006063C" w:rsidSect="00034616">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outlineLvl w:val="2"/>
    </w:pPr>
    <w:rPr>
      <w:rFonts w:ascii="Times New Roman" w:hAnsi="Times New Roman" w:eastAsia="Times New Roman"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CSRP Chapter 1 to 5 (draft, COLET)</dc:title>
  <dc:subject/>
  <dc:creator>Caacbay, Magkasi, Uaje, Ventura</dc:creator>
  <cp:keywords/>
  <dc:description>generated by python-docx</dc:description>
  <cp:lastModifiedBy/>
  <cp:revision>1</cp:revision>
  <dcterms:created xsi:type="dcterms:W3CDTF">2013-12-23T23:15:00Z</dcterms:created>
  <dcterms:modified xsi:type="dcterms:W3CDTF">2013-12-23T23:15:00Z</dcterms:modified>
  <cp:category/>
</cp:coreProperties>
</file>