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92D" w:rsidRDefault="007B292D">
      <w:pPr>
        <w:pStyle w:val="Text"/>
        <w:ind w:firstLine="0"/>
        <w:rPr>
          <w:sz w:val="18"/>
          <w:szCs w:val="18"/>
        </w:rPr>
      </w:pPr>
      <w:r>
        <w:rPr>
          <w:sz w:val="18"/>
          <w:szCs w:val="18"/>
        </w:rPr>
        <w:footnoteReference w:customMarkFollows="1" w:id="1"/>
        <w:sym w:font="Symbol" w:char="F020"/>
      </w:r>
    </w:p>
    <w:p w:rsidR="007B292D" w:rsidRDefault="00F5433D">
      <w:pPr>
        <w:pStyle w:val="Title"/>
        <w:framePr w:wrap="notBeside"/>
      </w:pPr>
      <w:r w:rsidRPr="00F5433D">
        <w:t>Significantly Improving the Homomorphic Secret Sharing Scheme in the Voter Mode</w:t>
      </w:r>
      <w:r>
        <w:t>l</w:t>
      </w:r>
    </w:p>
    <w:p w:rsidR="007B292D" w:rsidRDefault="00F5433D">
      <w:pPr>
        <w:pStyle w:val="Authors"/>
        <w:framePr w:wrap="notBeside"/>
      </w:pPr>
      <w:r w:rsidRPr="00F5433D">
        <w:t xml:space="preserve">Ben Jones, Ethan Mines, Philip </w:t>
      </w:r>
      <w:proofErr w:type="spellStart"/>
      <w:r w:rsidRPr="00F5433D">
        <w:t>Speegle</w:t>
      </w:r>
      <w:proofErr w:type="spellEnd"/>
    </w:p>
    <w:p w:rsidR="007B292D" w:rsidRDefault="007B292D">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7B292D" w:rsidRDefault="007B292D"/>
    <w:p w:rsidR="007B292D" w:rsidRDefault="007B292D">
      <w:pPr>
        <w:pStyle w:val="Heading1"/>
      </w:pPr>
      <w:r>
        <w:t>I</w:t>
      </w:r>
      <w:r>
        <w:rPr>
          <w:sz w:val="16"/>
          <w:szCs w:val="16"/>
        </w:rPr>
        <w:t>NTRODUCTION</w:t>
      </w:r>
    </w:p>
    <w:p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rsidR="00F5433D" w:rsidRDefault="00F5433D">
      <w:pPr>
        <w:pStyle w:val="Text"/>
        <w:ind w:firstLine="0"/>
      </w:pPr>
      <w:r w:rsidRPr="00F5433D">
        <w:t xml:space="preserve">n this paper, we implement improvements to </w:t>
      </w:r>
      <w:proofErr w:type="spellStart"/>
      <w:r w:rsidRPr="00F5433D">
        <w:t>Homomorphic</w:t>
      </w:r>
      <w:r>
        <w:t xml:space="preserve"> </w:t>
      </w:r>
      <w:r w:rsidRPr="00F5433D">
        <w:t>Secre</w:t>
      </w:r>
      <w:proofErr w:type="spellEnd"/>
      <w:r w:rsidRPr="00F5433D">
        <w:t>t Sharing (HSS) schemes to secure voting. HSS Schemes</w:t>
      </w:r>
      <w:r>
        <w:t xml:space="preserve"> </w:t>
      </w:r>
      <w:proofErr w:type="gramStart"/>
      <w:r w:rsidRPr="00F5433D">
        <w:t>were  first</w:t>
      </w:r>
      <w:proofErr w:type="gramEnd"/>
      <w:r w:rsidRPr="00F5433D">
        <w:t xml:space="preserve">  introduced  in  2016  by  [1].  </w:t>
      </w:r>
      <w:proofErr w:type="gramStart"/>
      <w:r w:rsidRPr="00F5433D">
        <w:t>We  begin</w:t>
      </w:r>
      <w:proofErr w:type="gramEnd"/>
      <w:r w:rsidRPr="00F5433D">
        <w:t xml:space="preserve">  with  a  high-level  comparison  of  HSS  schemes  with  their  predecessors</w:t>
      </w:r>
      <w:r>
        <w:t xml:space="preserve">, </w:t>
      </w:r>
      <w:r w:rsidRPr="00F5433D">
        <w:t>Fully  Homomorphic  Encryption  (FHE)  and  Function  Secret</w:t>
      </w:r>
      <w:r>
        <w:t xml:space="preserve"> </w:t>
      </w:r>
      <w:r w:rsidRPr="00F5433D">
        <w:t xml:space="preserve">Sharing  (FSS).  </w:t>
      </w:r>
      <w:proofErr w:type="gramStart"/>
      <w:r w:rsidRPr="00F5433D">
        <w:t>This  comparison</w:t>
      </w:r>
      <w:proofErr w:type="gramEnd"/>
      <w:r w:rsidRPr="00F5433D">
        <w:t xml:space="preserve">  provides  clarity  and  context</w:t>
      </w:r>
      <w:r>
        <w:t xml:space="preserve"> </w:t>
      </w:r>
      <w:r w:rsidRPr="00F5433D">
        <w:t>that highlight the benefits that HSS provides in relation to the</w:t>
      </w:r>
      <w:r>
        <w:t xml:space="preserve"> </w:t>
      </w:r>
      <w:r w:rsidRPr="00F5433D">
        <w:t xml:space="preserve">others.  </w:t>
      </w:r>
      <w:proofErr w:type="gramStart"/>
      <w:r w:rsidRPr="00F5433D">
        <w:t>In  particular</w:t>
      </w:r>
      <w:proofErr w:type="gramEnd"/>
      <w:r w:rsidRPr="00F5433D">
        <w:t>,  we  consider  the  improvements  that  [2]</w:t>
      </w:r>
      <w:r>
        <w:t xml:space="preserve"> </w:t>
      </w:r>
      <w:r w:rsidRPr="00F5433D">
        <w:t>make to existing HSS schemes, and apply them to voting.</w:t>
      </w:r>
      <w:r>
        <w:t xml:space="preserve"> </w:t>
      </w:r>
      <w:r w:rsidRPr="00F5433D">
        <w:t xml:space="preserve">We 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p>
    <w:p w:rsidR="00F5433D" w:rsidRDefault="00F5433D" w:rsidP="00F5433D">
      <w:pPr>
        <w:pStyle w:val="Heading2"/>
      </w:pPr>
      <w:r>
        <w:t>Homomorphic Encryption</w:t>
      </w:r>
    </w:p>
    <w:p w:rsidR="00F5433D" w:rsidRDefault="00F5433D" w:rsidP="00F5433D">
      <w:pPr>
        <w:pStyle w:val="Text"/>
        <w:ind w:firstLine="144"/>
      </w:pPr>
      <w:proofErr w:type="gramStart"/>
      <w:r w:rsidRPr="00F5433D">
        <w:t>Homomorphic  encryption</w:t>
      </w:r>
      <w:proofErr w:type="gramEnd"/>
      <w:r w:rsidRPr="00F5433D">
        <w:t xml:space="preserve">  allows  a  user  to  perform  operations  on  encrypted  data  without  decrypting  it  [3].  An</w:t>
      </w:r>
      <w:r>
        <w:t xml:space="preserve"> </w:t>
      </w:r>
      <w:proofErr w:type="gramStart"/>
      <w:r w:rsidRPr="00F5433D">
        <w:t>example  use</w:t>
      </w:r>
      <w:proofErr w:type="gramEnd"/>
      <w:r w:rsidRPr="00F5433D">
        <w:t xml:space="preserve">  case  of  this  is  secure  cloud  computation.  With</w:t>
      </w:r>
      <w:r>
        <w:t xml:space="preserve"> </w:t>
      </w:r>
      <w:proofErr w:type="gramStart"/>
      <w:r w:rsidRPr="00F5433D">
        <w:t>homomorphic  encryption</w:t>
      </w:r>
      <w:proofErr w:type="gramEnd"/>
      <w:r w:rsidRPr="00F5433D">
        <w:t>,  Alice  could  encrypt  her  financial</w:t>
      </w:r>
      <w:r>
        <w:t xml:space="preserve"> </w:t>
      </w:r>
      <w:r w:rsidRPr="00F5433D">
        <w:t>data  and  upload  it  to  a  remote  server,  owned  by  Bob.  Bob</w:t>
      </w:r>
      <w:r>
        <w:t xml:space="preserve"> </w:t>
      </w:r>
      <w:proofErr w:type="gramStart"/>
      <w:r w:rsidRPr="00F5433D">
        <w:t>could  then</w:t>
      </w:r>
      <w:proofErr w:type="gramEnd"/>
      <w:r w:rsidRPr="00F5433D">
        <w:t xml:space="preserve">  sum  the  numbers  in  the  financial  data,  without</w:t>
      </w:r>
      <w:r>
        <w:t xml:space="preserve"> </w:t>
      </w:r>
      <w:r w:rsidRPr="00F5433D">
        <w:t xml:space="preserve">knowledge  of  what  the  numbers  are.  </w:t>
      </w:r>
      <w:proofErr w:type="gramStart"/>
      <w:r w:rsidRPr="00F5433D">
        <w:t>Bob  then</w:t>
      </w:r>
      <w:proofErr w:type="gramEnd"/>
      <w:r w:rsidRPr="00F5433D">
        <w:t xml:space="preserve">  sends  back</w:t>
      </w:r>
      <w:r>
        <w:t xml:space="preserve"> </w:t>
      </w:r>
      <w:r w:rsidRPr="00F5433D">
        <w:t>the  encrypted  result,  which  is  finally  decrypted  by  Alice.  In</w:t>
      </w:r>
      <w:r>
        <w:t xml:space="preserve"> </w:t>
      </w:r>
      <w:r w:rsidRPr="00F5433D">
        <w:t>this case, Alice is the only entity that knows the plaintext, but</w:t>
      </w:r>
      <w:r>
        <w:t xml:space="preserve"> </w:t>
      </w:r>
      <w:r w:rsidRPr="00F5433D">
        <w:t>Alice was able to outsource her computation to Bob.</w:t>
      </w:r>
    </w:p>
    <w:p w:rsidR="00F5433D" w:rsidRDefault="00F5433D" w:rsidP="00F5433D">
      <w:pPr>
        <w:pStyle w:val="Text"/>
        <w:ind w:firstLine="144"/>
      </w:pPr>
      <w:r w:rsidRPr="00F5433D">
        <w:t xml:space="preserve">In </w:t>
      </w:r>
      <w:r>
        <w:t>[3]</w:t>
      </w:r>
      <w:r w:rsidRPr="00F5433D">
        <w:t xml:space="preserve">, Gentry categorizes homomorphic encryption schemes into several classes. Two examples of these are the partially homomorphic and fully homomorphic. In a partially homomorphic cryptosystem, the user </w:t>
      </w:r>
      <w:proofErr w:type="gramStart"/>
      <w:r w:rsidRPr="00F5433D">
        <w:t>is able to</w:t>
      </w:r>
      <w:proofErr w:type="gramEnd"/>
      <w:r w:rsidRPr="00F5433D">
        <w:t xml:space="preserve"> perform precisely one operation on the encrypted data, such as addition or multiplication. In contrast, fully homomorphic encryption (FHE) allows the user to do arbitrary computation. In 2009 and after being an open problem since 1978, Craig Gentry proposed the first viable FHE scheme in </w:t>
      </w:r>
      <w:r>
        <w:t>[3]</w:t>
      </w:r>
      <w:r w:rsidRPr="00F5433D">
        <w:t>.</w:t>
      </w:r>
    </w:p>
    <w:p w:rsidR="00F5433D" w:rsidRDefault="00F5433D" w:rsidP="00F5433D">
      <w:pPr>
        <w:pStyle w:val="Text"/>
      </w:pPr>
      <w:r w:rsidRPr="00F5433D">
        <w:t xml:space="preserve">One way to formalize the concept of FHE is to create a scheme </w:t>
      </w:r>
      <w:r>
        <w:t xml:space="preserve">ℰ </w:t>
      </w:r>
      <w:r w:rsidRPr="00F5433D">
        <w:t xml:space="preserve">with an algorithm </w:t>
      </w:r>
      <w:r>
        <w:t>Ev</w:t>
      </w:r>
      <w:proofErr w:type="spellStart"/>
      <w:r>
        <w:t>al</w:t>
      </w:r>
      <w:r w:rsidRPr="00F5433D">
        <w:t xml:space="preserve"> that </w:t>
      </w:r>
      <w:proofErr w:type="spellEnd"/>
      <w:r w:rsidRPr="00F5433D">
        <w:t xml:space="preserve">can evaluate an arbitrary logical circuit C, with algorithms Encrypt and Decrypt for encrypting data and decrypting it, respectively. Gentry accomplished this with a concept called “bootstrapping.” A scheme </w:t>
      </w:r>
      <w:r>
        <w:t>ℰ</w:t>
      </w:r>
      <w:r w:rsidRPr="00F5433D">
        <w:t xml:space="preserve"> </w:t>
      </w:r>
      <w:proofErr w:type="spellStart"/>
      <w:r w:rsidRPr="00F5433D">
        <w:t>is boot</w:t>
      </w:r>
      <w:proofErr w:type="spellEnd"/>
      <w:r w:rsidRPr="00F5433D">
        <w:t xml:space="preserve">strappable whenever the evaluation algorithm can compute the decryption algorithm Decrypt and an augmented NAND gate. From this, Gentry proves that you can create a complete set of circuits </w:t>
      </w:r>
      <w:r>
        <w:t>[3]</w:t>
      </w:r>
      <w:r w:rsidRPr="00F5433D">
        <w:t>. Finally, he constructs a bootstrappable scheme.</w:t>
      </w:r>
    </w:p>
    <w:p w:rsidR="00F5433D" w:rsidRDefault="00F5433D" w:rsidP="00F5433D">
      <w:pPr>
        <w:pStyle w:val="Heading2"/>
      </w:pPr>
      <w:r>
        <w:t>Function Secret Sharing</w:t>
      </w:r>
    </w:p>
    <w:p w:rsidR="005C236D" w:rsidRDefault="005C236D" w:rsidP="005C236D">
      <w:pPr>
        <w:pStyle w:val="Text"/>
        <w:ind w:firstLine="144"/>
      </w:pPr>
      <w:r>
        <w:t xml:space="preserve">This subsection summarizes the seminal paper on function secret sharing in a format that will be used to compare FSS to HSS. The full details can be found in </w:t>
      </w:r>
      <w:r>
        <w:t>[4]</w:t>
      </w:r>
      <w:r>
        <w:t>.</w:t>
      </w:r>
    </w:p>
    <w:p w:rsidR="005C236D" w:rsidRDefault="005C236D" w:rsidP="005C236D">
      <w:pPr>
        <w:pStyle w:val="Text"/>
      </w:pPr>
      <w:r>
        <w:t xml:space="preserve">A function secret sharing scheme splits a function into secure "shares" such that certain subsets of the shares cannot be recombined to give an advantage in computing the original function. </w:t>
      </w:r>
    </w:p>
    <w:p w:rsidR="005C236D" w:rsidRDefault="005C236D" w:rsidP="005C236D">
      <w:pPr>
        <w:pStyle w:val="Text"/>
      </w:pPr>
      <w:r>
        <w:t xml:space="preserve">More precisely, an FSS scheme has 6 components. The first is a set of p parties, denoted [p] who will receive the shares. The second is a subset T of [p] that are adversaries. The third is a class of functions, </w:t>
      </w:r>
      <w:r>
        <w:t>ℱ</w:t>
      </w:r>
      <w:r>
        <w:t xml:space="preserve">, containing our eventually secret function. The fourth is an output decoder algorithm, Dec, that takes the shares as inputs and decodes it as a single output. This is usually a sum function. The fifth is a key generation algorithm Gen that generates the p </w:t>
      </w:r>
      <w:r>
        <w:t>“</w:t>
      </w:r>
      <w:r>
        <w:t>keys</w:t>
      </w:r>
      <w:r>
        <w:t>”</w:t>
      </w:r>
      <w:r>
        <w:t xml:space="preserve"> or </w:t>
      </w:r>
      <w:r>
        <w:t>“</w:t>
      </w:r>
      <w:r>
        <w:t>shares</w:t>
      </w:r>
      <w:r>
        <w:t>”</w:t>
      </w:r>
      <w:r>
        <w:t xml:space="preserve"> for the input function, according to a security parameter constraint. The sixth and final component is an evaluation function, Eval, that evaluates each function share.</w:t>
      </w:r>
    </w:p>
    <w:p w:rsidR="005C236D" w:rsidRDefault="005C236D" w:rsidP="005C236D">
      <w:pPr>
        <w:pStyle w:val="Text"/>
      </w:pPr>
      <w:r>
        <w:t>The FSS is also subject to a correctness and security constraint. The correctness constraint rigorously states that with probability 1, the decoder algorithm operating on the shares generated from a function</w:t>
      </w:r>
      <w:r>
        <w:t>,</w:t>
      </w:r>
      <w:r>
        <w:t xml:space="preserve"> f</w:t>
      </w:r>
      <w:r>
        <w:t>,</w:t>
      </w:r>
      <w:r>
        <w:t xml:space="preserve"> will return the same value as f. The security constraint</w:t>
      </w:r>
      <w:r w:rsidR="007B292D">
        <w:t xml:space="preserve"> for </w:t>
      </w:r>
    </w:p>
    <w:p w:rsidR="005C236D" w:rsidRDefault="005C236D" w:rsidP="005C236D">
      <w:pPr>
        <w:pStyle w:val="Heading2"/>
      </w:pPr>
      <w:r w:rsidRPr="005C236D">
        <w:t>Overview of Homomorphic Secret Sharing</w:t>
      </w:r>
    </w:p>
    <w:p w:rsidR="005C236D" w:rsidRDefault="005C236D" w:rsidP="005C236D">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t>[4],[1]</w:t>
      </w:r>
      <w:r>
        <w:t>.</w:t>
      </w:r>
    </w:p>
    <w:p w:rsidR="005C236D" w:rsidRDefault="005C236D" w:rsidP="005C236D">
      <w:pPr>
        <w:pStyle w:val="Text"/>
      </w:pPr>
      <w:r>
        <w:t xml:space="preserve">Of the variants of homomorphic secret sharing described in </w:t>
      </w:r>
      <w:r>
        <w:t>[1]</w:t>
      </w:r>
      <w:r>
        <w:t xml:space="preserve">, we use </w:t>
      </w:r>
      <w:r w:rsidRPr="005C236D">
        <w:rPr>
          <w:i/>
          <w:iCs/>
        </w:rPr>
        <w:t>Distributed Evaluation Homomorphic Encryption</w:t>
      </w:r>
      <w:r>
        <w:t xml:space="preserve">, which allows multiple clients to send shares of inputs to two servers </w:t>
      </w:r>
      <w:r>
        <w:t>[1],[2]</w:t>
      </w:r>
      <w:r>
        <w:t>.</w:t>
      </w:r>
    </w:p>
    <w:p w:rsidR="005C236D" w:rsidRDefault="005C236D" w:rsidP="005C236D">
      <w:pPr>
        <w:pStyle w:val="Text"/>
      </w:pPr>
    </w:p>
    <w:p w:rsidR="005C236D" w:rsidRDefault="005C236D" w:rsidP="005C236D">
      <w:pPr>
        <w:pStyle w:val="Text"/>
      </w:pPr>
    </w:p>
    <w:p w:rsidR="005C236D" w:rsidRDefault="005C236D" w:rsidP="005C236D">
      <w:pPr>
        <w:pStyle w:val="Text"/>
      </w:pPr>
    </w:p>
    <w:p w:rsidR="005C236D" w:rsidRDefault="005C236D" w:rsidP="005C236D">
      <w:pPr>
        <w:pStyle w:val="Text"/>
      </w:pPr>
      <w:r>
        <w:t xml:space="preserve">During computations by the servers, multiplicative shares of a program variable must sometimes by converted to additive ones </w:t>
      </w:r>
      <w:r>
        <w:t>[2]</w:t>
      </w:r>
      <w:r>
        <w:t>.</w:t>
      </w:r>
    </w:p>
    <w:p w:rsidR="005C236D" w:rsidRDefault="005C236D" w:rsidP="005C236D">
      <w:pPr>
        <w:pStyle w:val="Text"/>
      </w:pPr>
      <w:r>
        <w:t xml:space="preserve">This is done via a probabilistic procedure known as </w:t>
      </w:r>
      <w:proofErr w:type="spellStart"/>
      <w:r>
        <w:t>DistributedDLog</w:t>
      </w:r>
      <w:proofErr w:type="spellEnd"/>
      <w:r>
        <w:t xml:space="preserve"> that relies on a pseudorandom function.</w:t>
      </w:r>
    </w:p>
    <w:p w:rsidR="005C236D" w:rsidRDefault="005C236D" w:rsidP="005C236D">
      <w:pPr>
        <w:pStyle w:val="Text"/>
      </w:pPr>
      <w:r>
        <w:t xml:space="preserve">If each of the two servers call the procedure on their multiplicative share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they each receive a new additive share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t>.</w:t>
      </w:r>
    </w:p>
    <w:p w:rsidR="005C236D" w:rsidRDefault="005C236D" w:rsidP="005C236D">
      <w:pPr>
        <w:pStyle w:val="Text"/>
      </w:pPr>
      <w:r>
        <w:t xml:space="preserve">Since this is a probabilistic procedure, the outputs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t xml:space="preserve"> fail to be correct additive shares with probability at most </w:t>
      </w:r>
      <m:oMath>
        <m:r>
          <w:rPr>
            <w:rFonts w:ascii="Cambria Math" w:hAnsi="Cambria Math"/>
          </w:rPr>
          <m:t>δ</m:t>
        </m:r>
      </m:oMath>
      <w:r>
        <w:t xml:space="preserve">, where </w:t>
      </w:r>
      <m:oMath>
        <m:r>
          <w:rPr>
            <w:rFonts w:ascii="Cambria Math" w:hAnsi="Cambria Math"/>
          </w:rPr>
          <m:t>δ</m:t>
        </m:r>
      </m:oMath>
      <w:r w:rsidR="00F948B1">
        <w:t xml:space="preserve"> </w:t>
      </w:r>
      <w:r>
        <w:t xml:space="preserve">is a parameter that can tweaked such that lower values of </w:t>
      </w:r>
      <m:oMath>
        <m:r>
          <w:rPr>
            <w:rFonts w:ascii="Cambria Math" w:hAnsi="Cambria Math"/>
          </w:rPr>
          <m:t>δ</m:t>
        </m:r>
      </m:oMath>
      <w:r w:rsidR="00F948B1">
        <w:t xml:space="preserve"> </w:t>
      </w:r>
      <w:r>
        <w:t>result in longer runtimes of the procedure.</w:t>
      </w:r>
    </w:p>
    <w:p w:rsidR="002231D0" w:rsidRDefault="005C236D" w:rsidP="005C236D">
      <w:pPr>
        <w:pStyle w:val="Text"/>
      </w:pPr>
      <w:r>
        <w:t xml:space="preserve">This is the primary limiting factor of the size of programs executed by the servers: error may accumulate by repeated calls to </w:t>
      </w:r>
      <w:proofErr w:type="spellStart"/>
      <w:r>
        <w:t>DistributedDLogn</w:t>
      </w:r>
      <w:proofErr w:type="spellEnd"/>
      <w:r>
        <w:t xml:space="preserve"> </w:t>
      </w:r>
      <w:r w:rsidR="00F948B1">
        <w:t>[1]</w:t>
      </w:r>
      <w:r>
        <w:t>.</w:t>
      </w:r>
      <w:bookmarkStart w:id="0" w:name="_GoBack"/>
      <w:bookmarkEnd w:id="0"/>
    </w:p>
    <w:p w:rsidR="002231D0" w:rsidRDefault="002231D0" w:rsidP="002231D0">
      <w:pPr>
        <w:pStyle w:val="Heading1"/>
      </w:pPr>
      <w:r>
        <w:t xml:space="preserve">Simple </w:t>
      </w:r>
      <w:proofErr w:type="spellStart"/>
      <w:r>
        <w:t>ElGamal</w:t>
      </w:r>
      <w:proofErr w:type="spellEnd"/>
      <w:r>
        <w:t xml:space="preserve"> Cryptosystem</w:t>
      </w:r>
    </w:p>
    <w:p w:rsidR="002231D0" w:rsidRDefault="005C236D" w:rsidP="002231D0">
      <w:pPr>
        <w:pStyle w:val="Text"/>
      </w:pPr>
      <w:r>
        <w:t xml:space="preserve"> </w:t>
      </w:r>
      <w:r w:rsidR="002231D0">
        <w:t xml:space="preserve">The </w:t>
      </w:r>
      <w:proofErr w:type="spellStart"/>
      <w:r w:rsidR="002231D0">
        <w:t>ElGamal</w:t>
      </w:r>
      <w:proofErr w:type="spellEnd"/>
      <w:r w:rsidR="002231D0">
        <w:t xml:space="preserve"> cryptosystem is an asymmetric cryptosystem making use of a public key and a single-use private or `ephemeral key.'</w:t>
      </w:r>
    </w:p>
    <w:p w:rsidR="002231D0" w:rsidRDefault="002231D0" w:rsidP="002231D0">
      <w:pPr>
        <w:pStyle w:val="Text"/>
      </w:pPr>
      <w:r>
        <w:t>One of its variants is homomorphic with respect to addition, making it a suitable candidate for Homomorphic Secret Sharing.</w:t>
      </w:r>
      <w:r>
        <w:t xml:space="preserve"> </w:t>
      </w:r>
    </w:p>
    <w:p w:rsidR="002231D0" w:rsidRDefault="002231D0" w:rsidP="002231D0">
      <w:pPr>
        <w:pStyle w:val="Heading2"/>
      </w:pPr>
      <w:r>
        <w:t>Key Generation and Encryption</w:t>
      </w:r>
    </w:p>
    <w:p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w:rPr>
            <w:rFonts w:ascii="Cambria Math" w:hAnsi="Cambria Math"/>
          </w:rPr>
          <m:t xml:space="preserve">: </m:t>
        </m:r>
        <m:r>
          <m:rPr>
            <m:scr m:val="script"/>
          </m:rPr>
          <w:rPr>
            <w:rFonts w:ascii="Cambria Math" w:hAnsi="Cambria Math"/>
          </w:rPr>
          <m:t>S→</m:t>
        </m:r>
        <m:r>
          <w:rPr>
            <w:rFonts w:ascii="Cambria Math" w:hAnsi="Cambria Math"/>
          </w:rPr>
          <m:t xml:space="preserve"> 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m:t>
        </m:r>
        <m:r>
          <w:rPr>
            <w:rFonts w:ascii="Cambria Math" w:hAnsi="Cambria Math"/>
          </w:rPr>
          <m:t>…</m:t>
        </m:r>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p>
    <w:p w:rsidR="000A0916" w:rsidRDefault="002231D0" w:rsidP="002231D0">
      <w:pPr>
        <w:pStyle w:val="Text"/>
      </w:pPr>
      <w:r w:rsidRPr="002231D0">
        <w:t xml:space="preserve"> </w:t>
      </w:r>
      <w:r w:rsidR="00B603BA" w:rsidRPr="00B603BA">
        <w:t xml:space="preserve">Let </w:t>
      </w:r>
      <m:oMath>
        <m:r>
          <w:rPr>
            <w:rFonts w:ascii="Cambria Math" w:hAnsi="Cambria Math"/>
          </w:rPr>
          <m:t>G</m:t>
        </m:r>
      </m:oMath>
      <w:r w:rsidR="00B603BA" w:rsidRPr="00B603BA">
        <w:t xml:space="preserve"> be a cyclic group of order </w:t>
      </w:r>
      <m:oMath>
        <m:r>
          <w:rPr>
            <w:rFonts w:ascii="Cambria Math" w:hAnsi="Cambria Math"/>
          </w:rPr>
          <m:t>m = p</m:t>
        </m:r>
        <m:r>
          <w:rPr>
            <w:rFonts w:ascii="Cambria Math" w:hAnsi="Cambria Math"/>
          </w:rPr>
          <m:t>⋅</m:t>
        </m:r>
        <m:r>
          <w:rPr>
            <w:rFonts w:ascii="Cambria Math" w:hAnsi="Cambria Math"/>
          </w:rPr>
          <m:t xml:space="preserve"> q</m:t>
        </m:r>
      </m:oMath>
      <w:r w:rsidR="00B603BA" w:rsidRPr="00B603BA">
        <w:t xml:space="preserve">, where </w:t>
      </w:r>
      <m:oMath>
        <m:r>
          <w:rPr>
            <w:rFonts w:ascii="Cambria Math" w:hAnsi="Cambria Math"/>
          </w:rPr>
          <m:t>p</m:t>
        </m:r>
      </m:oMath>
      <w:r w:rsidR="00B603BA" w:rsidRPr="00B603BA">
        <w:t xml:space="preserve"> and </w:t>
      </w:r>
      <m:oMath>
        <m:r>
          <w:rPr>
            <w:rFonts w:ascii="Cambria Math" w:hAnsi="Cambria Math"/>
          </w:rPr>
          <m:t>q</m:t>
        </m:r>
      </m:oMath>
      <w:r w:rsidR="00B603BA" w:rsidRPr="00B603BA">
        <w:t xml:space="preserve"> are primes. Recall that </w:t>
      </w:r>
      <m:oMath>
        <m:r>
          <w:rPr>
            <w:rFonts w:ascii="Cambria Math" w:hAnsi="Cambria Math"/>
          </w:rPr>
          <m:t>G</m:t>
        </m:r>
        <m:r>
          <w:rPr>
            <w:rFonts w:ascii="Cambria Math" w:hAnsi="Cambria Math"/>
          </w:rPr>
          <m:t xml:space="preserve">≅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00B603BA" w:rsidRPr="00B603BA">
        <w:t xml:space="preserve">, and the amount of generators of </w:t>
      </w:r>
      <m:oMath>
        <m:r>
          <w:rPr>
            <w:rFonts w:ascii="Cambria Math" w:hAnsi="Cambria Math"/>
          </w:rPr>
          <m:t>G</m:t>
        </m:r>
      </m:oMath>
      <w:r w:rsidR="00B603BA" w:rsidRPr="00B603BA">
        <w:t xml:space="preserve"> is </w:t>
      </w:r>
      <m:oMath>
        <m:r>
          <w:rPr>
            <w:rFonts w:ascii="Cambria Math" w:hAnsi="Cambria Math"/>
          </w:rPr>
          <m:t>|</m:t>
        </m:r>
        <m:r>
          <m:rPr>
            <m:scr m:val="script"/>
          </m:rPr>
          <w:rPr>
            <w:rFonts w:ascii="Cambria Math" w:hAnsi="Cambria Math"/>
          </w:rPr>
          <m:t>U</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00B603BA" w:rsidRPr="00B603BA">
        <w:t xml:space="preserve">, where each element in </w:t>
      </w:r>
      <m:oMath>
        <m:r>
          <m:rPr>
            <m:scr m:val="script"/>
          </m:rPr>
          <w:rPr>
            <w:rFonts w:ascii="Cambria Math" w:hAnsi="Cambria Math"/>
          </w:rPr>
          <m:t>U(</m:t>
        </m:r>
        <m:r>
          <w:rPr>
            <w:rFonts w:ascii="Cambria Math" w:hAnsi="Cambria Math"/>
          </w:rPr>
          <m:t>m)</m:t>
        </m:r>
      </m:oMath>
      <w:r w:rsidR="00B603BA" w:rsidRPr="00B603BA">
        <w:t xml:space="preserve"> is all </w:t>
      </w:r>
      <m:oMath>
        <m:r>
          <w:rPr>
            <w:rFonts w:ascii="Cambria Math" w:hAnsi="Cambria Math"/>
          </w:rPr>
          <m:t>x</m:t>
        </m:r>
        <m:r>
          <w:rPr>
            <w:rFonts w:ascii="Cambria Math" w:hAnsi="Cambria Math"/>
          </w:rPr>
          <m:t>≤</m:t>
        </m:r>
        <m:r>
          <w:rPr>
            <w:rFonts w:ascii="Cambria Math" w:hAnsi="Cambria Math"/>
          </w:rPr>
          <m:t xml:space="preserve"> m</m:t>
        </m:r>
      </m:oMath>
      <w:r w:rsidR="00B603BA" w:rsidRPr="00B603BA">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m:t>
        </m:r>
        <m:r>
          <w:rPr>
            <w:rFonts w:ascii="Cambria Math" w:hAnsi="Cambria Math"/>
          </w:rPr>
          <m:t>1</m:t>
        </m:r>
      </m:oMath>
      <w:r w:rsidR="00B603BA" w:rsidRPr="00B603BA">
        <w:t xml:space="preserve">. Then, the proposed generation algorithm is as follows. First, we randomly generate two distinct prime numbers </w:t>
      </w:r>
      <m:oMath>
        <m:r>
          <w:rPr>
            <w:rFonts w:ascii="Cambria Math" w:hAnsi="Cambria Math"/>
          </w:rPr>
          <m:t>p</m:t>
        </m:r>
      </m:oMath>
      <w:r w:rsidR="00B603BA" w:rsidRPr="00B603BA">
        <w:t xml:space="preserve"> and</w:t>
      </w:r>
      <w:r w:rsidR="00B603BA">
        <w:t xml:space="preserve"> </w:t>
      </w:r>
      <m:oMath>
        <m:r>
          <w:rPr>
            <w:rFonts w:ascii="Cambria Math" w:hAnsi="Cambria Math"/>
          </w:rPr>
          <m:t>q</m:t>
        </m:r>
      </m:oMath>
      <w:r w:rsidR="00B603BA" w:rsidRPr="00B603BA">
        <w:t xml:space="preserve">, preferably making the product </w:t>
      </w:r>
      <m:oMath>
        <m:r>
          <w:rPr>
            <w:rFonts w:ascii="Cambria Math" w:hAnsi="Cambria Math"/>
          </w:rPr>
          <m:t>p⋅</m:t>
        </m:r>
        <m:r>
          <w:rPr>
            <w:rFonts w:ascii="Cambria Math" w:hAnsi="Cambria Math"/>
          </w:rPr>
          <m:t>q</m:t>
        </m:r>
      </m:oMath>
      <w:r w:rsidR="00B603BA" w:rsidRPr="00B603BA">
        <w:t xml:space="preserve"> large. Using the Miller-Rabin primality test, large values of primes can be found easily. Without loss of generality, assume </w:t>
      </w:r>
      <m:oMath>
        <m:r>
          <w:rPr>
            <w:rFonts w:ascii="Cambria Math" w:hAnsi="Cambria Math"/>
          </w:rPr>
          <m:t>p&lt;q</m:t>
        </m:r>
      </m:oMath>
      <w:r w:rsidR="00B603BA" w:rsidRPr="00B603BA">
        <w:t xml:space="preserve">.  Compute </w:t>
      </w:r>
      <m:oMath>
        <m:r>
          <w:rPr>
            <w:rFonts w:ascii="Cambria Math" w:hAnsi="Cambria Math"/>
          </w:rPr>
          <m:t xml:space="preserve">m = </m:t>
        </m:r>
        <m:r>
          <w:rPr>
            <w:rFonts w:ascii="Cambria Math" w:hAnsi="Cambria Math"/>
          </w:rPr>
          <m:t>p⋅</m:t>
        </m:r>
        <m:r>
          <w:rPr>
            <w:rFonts w:ascii="Cambria Math" w:hAnsi="Cambria Math"/>
          </w:rPr>
          <m:t>q</m:t>
        </m:r>
      </m:oMath>
      <w:r w:rsidR="00B603BA" w:rsidRPr="00B603BA">
        <w:t xml:space="preserve"> and let </w:t>
      </w:r>
      <m:oMath>
        <m:r>
          <w:rPr>
            <w:rFonts w:ascii="Cambria Math" w:hAnsi="Cambria Math"/>
          </w:rPr>
          <m:t>|G| = m</m:t>
        </m:r>
      </m:oMath>
      <w:r w:rsidR="00B603BA" w:rsidRPr="00B603BA">
        <w:t xml:space="preserve">. Randomly choose an integer </w:t>
      </w:r>
      <m:oMath>
        <m:r>
          <w:rPr>
            <w:rFonts w:ascii="Cambria Math" w:hAnsi="Cambria Math"/>
          </w:rPr>
          <m:t>k:{p</m:t>
        </m:r>
        <m:r>
          <w:rPr>
            <w:rFonts w:ascii="Cambria Math" w:hAnsi="Cambria Math"/>
          </w:rPr>
          <m:t>≤</m:t>
        </m:r>
        <m:r>
          <w:rPr>
            <w:rFonts w:ascii="Cambria Math" w:hAnsi="Cambria Math"/>
          </w:rPr>
          <m:t>k&lt;m}</m:t>
        </m:r>
      </m:oMath>
      <w:r w:rsidR="00B603BA" w:rsidRPr="00B603BA">
        <w:t xml:space="preserve"> until </w:t>
      </w:r>
      <m:oMath>
        <m:r>
          <w:rPr>
            <w:rFonts w:ascii="Cambria Math" w:hAnsi="Cambria Math"/>
          </w:rPr>
          <m:t>k</m:t>
        </m:r>
      </m:oMath>
      <w:r w:rsidR="00B603BA" w:rsidRPr="00B603BA">
        <w:t xml:space="preserve"> is </w:t>
      </w:r>
      <w:proofErr w:type="gramStart"/>
      <w:r w:rsidR="00B603BA" w:rsidRPr="00B603BA">
        <w:t>sufficient</w:t>
      </w:r>
      <w:proofErr w:type="gramEnd"/>
      <w:r w:rsidR="00B603BA" w:rsidRPr="00B603BA">
        <w:t xml:space="preserve"> such that </w:t>
      </w:r>
      <m:oMath>
        <m:r>
          <w:rPr>
            <w:rFonts w:ascii="Cambria Math" w:hAnsi="Cambria Math"/>
          </w:rPr>
          <m:t>G=</m:t>
        </m:r>
        <m:r>
          <w:rPr>
            <w:rFonts w:ascii="Cambria Math" w:hAnsi="Cambria Math"/>
          </w:rPr>
          <m:t>⟨</m:t>
        </m:r>
        <m:r>
          <w:rPr>
            <w:rFonts w:ascii="Cambria Math" w:hAnsi="Cambria Math"/>
          </w:rPr>
          <m:t>k</m:t>
        </m:r>
        <m:r>
          <w:rPr>
            <w:rFonts w:ascii="Cambria Math" w:hAnsi="Cambria Math"/>
          </w:rPr>
          <m:t>⟩</m:t>
        </m:r>
      </m:oMath>
      <w:r w:rsidR="00B603BA">
        <w:t xml:space="preserve"> </w:t>
      </w:r>
      <w:r w:rsidR="00B603BA" w:rsidRPr="00B603BA">
        <w:t xml:space="preserve">$. The following results show that, for sufficiently large </w:t>
      </w:r>
      <m:oMath>
        <m:r>
          <w:rPr>
            <w:rFonts w:ascii="Cambria Math" w:hAnsi="Cambria Math"/>
          </w:rPr>
          <m:t>p</m:t>
        </m:r>
      </m:oMath>
      <w:r w:rsidR="00B603BA" w:rsidRPr="00B603BA">
        <w:t xml:space="preserve"> and </w:t>
      </w:r>
      <m:oMath>
        <m:r>
          <w:rPr>
            <w:rFonts w:ascii="Cambria Math" w:hAnsi="Cambria Math"/>
          </w:rPr>
          <m:t>q</m:t>
        </m:r>
      </m:oMath>
      <w:r w:rsidR="00B603BA" w:rsidRPr="00B603BA">
        <w:t>, the time this takes is essentially negligible.</w:t>
      </w:r>
      <w:r w:rsidR="007B292D">
        <w:t xml:space="preserve"> </w:t>
      </w:r>
    </w:p>
    <w:p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.Then</w:t>
      </w:r>
      <m:oMath>
        <m:r>
          <w:rPr>
            <w:rFonts w:ascii="Cambria Math" w:hAnsi="Cambria Math"/>
          </w:rPr>
          <m:t xml:space="preserve"> </m:t>
        </m:r>
        <m:r>
          <w:rPr>
            <w:rFonts w:ascii="Cambria Math" w:hAnsi="Cambria Math"/>
          </w:rPr>
          <m:t>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rsidR="000A0916" w:rsidRDefault="000A0916" w:rsidP="000A0916">
      <w:pPr>
        <w:pStyle w:val="Text"/>
        <w:ind w:firstLine="0"/>
      </w:pPr>
      <w:r>
        <w:t xml:space="preserve"> where </w:t>
      </w:r>
      <m:oMath>
        <m:r>
          <w:rPr>
            <w:rFonts w:ascii="Cambria Math" w:hAnsi="Cambria Math"/>
          </w:rPr>
          <m:t>φ(x)</m:t>
        </m:r>
      </m:oMath>
      <w:r>
        <w:t xml:space="preserve"> is Euler’s Totient function.</w:t>
      </w:r>
    </w:p>
    <w:p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w:rPr>
            <w:rFonts w:ascii="Cambria Math" w:hAnsi="Cambria Math"/>
          </w:rPr>
          <m:t xml:space="preserve">: </m:t>
        </m:r>
        <m:r>
          <m:rPr>
            <m:scr m:val="double-struck"/>
          </m:rPr>
          <w:rPr>
            <w:rFonts w:ascii="Cambria Math" w:hAnsi="Cambria Math"/>
          </w:rPr>
          <m:t>Z→Z</m:t>
        </m:r>
      </m:oMath>
      <w:r w:rsidRPr="000A0916">
        <w:t xml:space="preserve"> is a multiplicative </w:t>
      </w:r>
      <w:r w:rsidRPr="000A0916">
        <w:t xml:space="preserve">homomorphism, so we have </w:t>
      </w:r>
      <m:oMath>
        <m:r>
          <w:rPr>
            <w:rFonts w:ascii="Cambria Math" w:hAnsi="Cambria Math"/>
          </w:rPr>
          <m:t>φ</m:t>
        </m:r>
        <m:r>
          <w:rPr>
            <w:rFonts w:ascii="Cambria Math" w:hAnsi="Cambria Math"/>
          </w:rPr>
          <m:t>(m) =</m:t>
        </m:r>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φ</m:t>
        </m:r>
        <m:r>
          <w:rPr>
            <w:rFonts w:ascii="Cambria Math" w:hAnsi="Cambria Math"/>
          </w:rPr>
          <m:t>(q)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m:t>
        </m:r>
        <m:r>
          <w:rPr>
            <w:rFonts w:ascii="Cambria Math" w:hAnsi="Cambria Math"/>
          </w:rPr>
          <m:t>(p) = p-1</m:t>
        </m:r>
      </m:oMath>
      <w:r w:rsidRPr="000A0916">
        <w:t xml:space="preserve">, and the result trivially </w:t>
      </w:r>
      <w:proofErr w:type="gramStart"/>
      <w:r w:rsidRPr="000A0916">
        <w:t>follows.</w:t>
      </w:r>
      <w:r w:rsidR="00C858C9">
        <w:t>□</w:t>
      </w:r>
      <w:proofErr w:type="gramEnd"/>
    </w:p>
    <w:p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w:t>
      </w:r>
      <w:proofErr w:type="spellStart"/>
      <w:r>
        <w:t>he</w:t>
      </w:r>
      <w:proofErr w:type="spellEnd"/>
      <w:r>
        <w:t xml:space="preserv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rsidR="007B292D" w:rsidRDefault="007B292D" w:rsidP="000A0916">
      <w:pPr>
        <w:pStyle w:val="Text"/>
        <w:ind w:firstLine="0"/>
      </w:pPr>
      <w:r>
        <w:t>se it to prepare your manuscript. If you would prefer to use LATEX, download IEEE’s LATEX style and sample files from the same Web page. Use these LATEX files for formatting, but please follow the instructions in TRANS-JOUR.DOC or TRANS-JOUR.PDF.</w:t>
      </w:r>
    </w:p>
    <w:p w:rsidR="007B292D" w:rsidRDefault="007B292D">
      <w:pPr>
        <w:pStyle w:val="Text"/>
      </w:pPr>
      <w:r>
        <w:t xml:space="preserve">If your paper is intended for a </w:t>
      </w:r>
      <w:r>
        <w:rPr>
          <w:i/>
          <w:iCs/>
        </w:rPr>
        <w:t>conference,</w:t>
      </w:r>
      <w:r>
        <w:t xml:space="preserve"> please contact your conference editor concerning acceptable word processor formats for your </w:t>
      </w:r>
      <w:proofErr w:type="gramStart"/>
      <w:r>
        <w:t>particular conference</w:t>
      </w:r>
      <w:proofErr w:type="gramEnd"/>
      <w:r>
        <w:t xml:space="preserve">. </w:t>
      </w:r>
    </w:p>
    <w:p w:rsidR="007B292D" w:rsidRDefault="007B292D">
      <w:pPr>
        <w:pStyle w:val="Text"/>
      </w:pPr>
      <w:r>
        <w:t xml:space="preserve">When you open TRANS-JOUR.DOC, select “Page Layout” from the “View” menu in the menu bar (View | Page Layout), which allows you to see the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7B292D" w:rsidRDefault="007B292D">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7B292D" w:rsidRDefault="007B292D">
      <w:pPr>
        <w:pStyle w:val="Text"/>
      </w:pPr>
      <w:r>
        <w:t xml:space="preserve">IEEE will do the final formatting of your paper. If your paper is intended for a conference, please observe the conference page limits. </w:t>
      </w:r>
    </w:p>
    <w:p w:rsidR="007B292D" w:rsidRDefault="007B292D">
      <w:pPr>
        <w:pStyle w:val="Heading1"/>
      </w:pPr>
      <w:r>
        <w:t>Procedure for Paper Submission</w:t>
      </w:r>
    </w:p>
    <w:p w:rsidR="007B292D" w:rsidRDefault="007B292D">
      <w:pPr>
        <w:pStyle w:val="Heading2"/>
      </w:pPr>
      <w:r>
        <w:t>Review Stage</w:t>
      </w:r>
    </w:p>
    <w:p w:rsidR="007B292D" w:rsidRDefault="007B292D">
      <w:pPr>
        <w:pStyle w:val="Text"/>
      </w:pPr>
      <w:r>
        <w:t>Please check with your editor on whether to submit your manuscript by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7B292D" w:rsidRDefault="007B292D">
      <w:pPr>
        <w:pStyle w:val="Text"/>
      </w:pPr>
      <w:r>
        <w:t>If you want to submit your file with one column electronically, please do the following:</w:t>
      </w:r>
    </w:p>
    <w:p w:rsidR="007B292D" w:rsidRDefault="007B292D">
      <w:pPr>
        <w:pStyle w:val="Text"/>
      </w:pPr>
      <w:r>
        <w:tab/>
      </w:r>
      <w:proofErr w:type="gramStart"/>
      <w:r>
        <w:t>--First,</w:t>
      </w:r>
      <w:proofErr w:type="gramEnd"/>
      <w:r>
        <w:t xml:space="preserve"> click on the View menu and choose Print Layout.</w:t>
      </w:r>
    </w:p>
    <w:p w:rsidR="007B292D" w:rsidRDefault="007B292D">
      <w:pPr>
        <w:pStyle w:val="Text"/>
      </w:pPr>
      <w:r>
        <w:lastRenderedPageBreak/>
        <w:tab/>
      </w:r>
      <w:proofErr w:type="gramStart"/>
      <w:r>
        <w:t>--Second,</w:t>
      </w:r>
      <w:proofErr w:type="gramEnd"/>
      <w:r>
        <w:t xml:space="preserve"> place your cursor in the first paragraph. Go to the Format menu, choose Columns, choose one column Layout, and choose “apply to whole document” from the dropdown menu.</w:t>
      </w:r>
    </w:p>
    <w:p w:rsidR="007B292D" w:rsidRDefault="007B292D">
      <w:pPr>
        <w:pStyle w:val="Text"/>
      </w:pPr>
      <w:r>
        <w:tab/>
        <w:t>--Third, click and drag the right margin bar to just over 4 inches in width.</w:t>
      </w:r>
    </w:p>
    <w:p w:rsidR="007B292D" w:rsidRDefault="007B292D">
      <w:pPr>
        <w:pStyle w:val="Text"/>
        <w:ind w:firstLine="0"/>
      </w:pPr>
      <w:r>
        <w:t>The graphics will stay in the “second” column, but you can drag them to the first column. Make the graphic wider to push out any text that may try to fill in next to the graphic.</w:t>
      </w:r>
    </w:p>
    <w:p w:rsidR="007B292D" w:rsidRDefault="007B292D">
      <w:pPr>
        <w:pStyle w:val="Heading2"/>
      </w:pPr>
      <w:r>
        <w:t>Final Stage</w:t>
      </w:r>
    </w:p>
    <w:p w:rsidR="007B292D" w:rsidRDefault="007B292D">
      <w:pPr>
        <w:pStyle w:val="Text"/>
      </w:pPr>
      <w:r>
        <w:t xml:space="preserve">When you submit your final version, after your paper has been accepted, print it in two-column format, including figures and tables. Send three prints of the paper; two will go to IEEE and one will be retained by the Editor-in-Chief or conference publications chair. </w:t>
      </w:r>
    </w:p>
    <w:p w:rsidR="007B292D" w:rsidRDefault="007B292D">
      <w:pPr>
        <w:pStyle w:val="Text"/>
      </w:pPr>
      <w:r>
        <w:t xml:space="preserve">You must also send your final manuscript on a </w:t>
      </w:r>
      <w:proofErr w:type="gramStart"/>
      <w:r>
        <w:t>disk,</w:t>
      </w:r>
      <w:proofErr w:type="gramEnd"/>
      <w:r>
        <w:t xml:space="preserve"> which IEEE will use to prepare your paper for publication. Write the authors’ names on the disk label. If you are using a Macintosh, please save your file on a PC formatted disk, if possible. You may use </w:t>
      </w:r>
      <w:r>
        <w:rPr>
          <w:i/>
          <w:iCs/>
        </w:rPr>
        <w:t>Zip</w:t>
      </w:r>
      <w:r>
        <w:t xml:space="preserve"> or CD-ROM disks 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7B292D" w:rsidRDefault="007B292D">
      <w:pPr>
        <w:pStyle w:val="Text"/>
      </w:pPr>
      <w:r>
        <w:t>Also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7B292D" w:rsidRDefault="007B292D">
      <w:pPr>
        <w:pStyle w:val="Heading2"/>
      </w:pPr>
      <w:r>
        <w:t>Figures</w:t>
      </w:r>
    </w:p>
    <w:p w:rsidR="007B292D" w:rsidRDefault="007B292D">
      <w:pPr>
        <w:pStyle w:val="Text"/>
      </w:pPr>
      <w:r>
        <w:t xml:space="preserve">All tables and figures will be processed as images. </w:t>
      </w:r>
      <w:r>
        <w:rPr>
          <w:b/>
          <w:bCs/>
        </w:rPr>
        <w:t>However, IEEE cannot extract the tables and figures embedded in your document.</w:t>
      </w:r>
      <w:r>
        <w:t xml:space="preserve"> (The figures and tables you insert in your document are only to help you gauge the size of your paper, for the convenience of the referees, and to make it easy for you to distribute preprints.) Therefore, </w:t>
      </w:r>
      <w:r>
        <w:rPr>
          <w:b/>
          <w:bCs/>
        </w:rPr>
        <w:t>submit, on separate sheets of paper, enlarged versions of the tables and figures that appear in your document.</w:t>
      </w:r>
      <w:r>
        <w:t xml:space="preserve"> These are the images IEEE will scan and publish with your paper. </w:t>
      </w:r>
    </w:p>
    <w:p w:rsidR="007B292D" w:rsidRDefault="007B292D">
      <w:pPr>
        <w:pStyle w:val="Heading2"/>
      </w:pPr>
      <w:r>
        <w:t>Electronic Image Files (Optional)</w:t>
      </w:r>
    </w:p>
    <w:p w:rsidR="007B292D" w:rsidRDefault="007B292D">
      <w:pPr>
        <w:pStyle w:val="Text"/>
      </w:pPr>
      <w:r>
        <w:t>You will have the greatest control over the appearance of your figures if you are able to prepare electronic image files. If you do not have the required computer skills, just submit paper prints as described above and skip this section.</w:t>
      </w:r>
    </w:p>
    <w:p w:rsidR="007B292D" w:rsidRDefault="007B292D">
      <w:pPr>
        <w:pStyle w:val="Text"/>
      </w:pPr>
      <w:smartTag w:uri="urn:schemas-microsoft-com:office:smarttags" w:element="Street">
        <w:smartTag w:uri="urn:schemas-microsoft-com:office:smarttags" w:element="address">
          <w:r>
            <w:rPr>
              <w:i/>
              <w:iCs/>
            </w:rPr>
            <w:t>1) Easiest Way</w:t>
          </w:r>
        </w:smartTag>
      </w:smartTag>
      <w:r>
        <w:rPr>
          <w:i/>
          <w:iCs/>
        </w:rPr>
        <w:t>:</w:t>
      </w:r>
      <w:r>
        <w:t xml:space="preserve"> If you have a scanner, the best and quickest way to prepare noncolor figure files is to print your tables and figures on paper exactly as you want them to appear, scan them, and then save them to a file in PostScript (PS) or Encapsulated PostScript (EPS) formats. Use a separate file for each image. File names should be of the form “fig1.ps” or “fig2.eps.”</w:t>
      </w:r>
    </w:p>
    <w:p w:rsidR="007B292D" w:rsidRDefault="007B292D">
      <w:pPr>
        <w:pStyle w:val="Text"/>
      </w:pPr>
      <w:r>
        <w:rPr>
          <w:i/>
          <w:iCs/>
        </w:rPr>
        <w:t xml:space="preserve">2) Slightly </w:t>
      </w:r>
      <w:smartTag w:uri="urn:schemas-microsoft-com:office:smarttags" w:element="Street">
        <w:smartTag w:uri="urn:schemas-microsoft-com:office:smarttags" w:element="address">
          <w:r>
            <w:rPr>
              <w:i/>
              <w:iCs/>
            </w:rPr>
            <w:t>Harder Way</w:t>
          </w:r>
        </w:smartTag>
      </w:smartTag>
      <w:r>
        <w:rPr>
          <w:i/>
          <w:iCs/>
        </w:rPr>
        <w:t>:</w:t>
      </w:r>
      <w:r>
        <w:t xml:space="preserve"> Using a scanner as above, save the images in TIFF format. High-contrast line figures and tables should be prepared with 600 dpi resolution and saved with no compression, 1 bit per pixel (monochrome), with file names of the form “fig3.tif” or “table1.tif.” To obtain a 3.45-in figure </w:t>
      </w:r>
      <w:r>
        <w:t>(one-column width) at 600 dpi, the figure requires a horizontal size of 2070 pixels. Typical file sizes will be on the order of 0.5 MB.</w:t>
      </w:r>
    </w:p>
    <w:p w:rsidR="007B292D" w:rsidRDefault="007B292D">
      <w:pPr>
        <w:pStyle w:val="Text"/>
      </w:pPr>
      <w:r>
        <w:t xml:space="preserve">Photographs and grayscale figures should be prepared with 220 dpi resolution and saved with no compression, 8 bits per pixel (grayscale). To obtain a 3.45-in figure (one-column width) at 220 dpi, the figure should have a horizontal size of 759 pixels. </w:t>
      </w:r>
    </w:p>
    <w:p w:rsidR="007B292D" w:rsidRDefault="007B292D">
      <w:pPr>
        <w:pStyle w:val="Text"/>
      </w:pPr>
      <w:r>
        <w:t xml:space="preserve">Color figures should be prepared with 400 dpi resolution and saved with no compression, 8 bits per pixel (palette or 256 color). To obtain a 3.45-in figure (one column width) at 400 dpi, the figure should have a horizontal size of 1380 pixels. </w:t>
      </w:r>
    </w:p>
    <w:p w:rsidR="007B292D" w:rsidRDefault="007B292D">
      <w:pPr>
        <w:pStyle w:val="Text"/>
      </w:pPr>
      <w:r>
        <w:t xml:space="preserve">For more information on TIFF files, please go to </w:t>
      </w:r>
      <w:hyperlink r:id="rId8" w:history="1">
        <w:r>
          <w:rPr>
            <w:rStyle w:val="Hyperlink"/>
          </w:rPr>
          <w:t>http://www.ieee.org/organizations/pubs/transaction</w:t>
        </w:r>
        <w:r>
          <w:rPr>
            <w:rStyle w:val="Hyperlink"/>
          </w:rPr>
          <w:t>s</w:t>
        </w:r>
        <w:r>
          <w:rPr>
            <w:rStyle w:val="Hyperlink"/>
          </w:rPr>
          <w:t>/</w:t>
        </w:r>
        <w:r>
          <w:rPr>
            <w:rStyle w:val="Hyperlink"/>
          </w:rPr>
          <w:t>information.htm</w:t>
        </w:r>
      </w:hyperlink>
      <w:r>
        <w:t xml:space="preserve"> and click on the link “Guidelines for Author Supplied Electronic Text and Graphics.”</w:t>
      </w:r>
    </w:p>
    <w:p w:rsidR="007B292D" w:rsidRDefault="007B292D">
      <w:pPr>
        <w:pStyle w:val="Text"/>
      </w:pPr>
      <w:r>
        <w:rPr>
          <w:i/>
          <w:iCs/>
        </w:rPr>
        <w:t xml:space="preserve">3) Somewhat </w:t>
      </w:r>
      <w:smartTag w:uri="urn:schemas-microsoft-com:office:smarttags" w:element="Street">
        <w:smartTag w:uri="urn:schemas-microsoft-com:office:smarttags" w:element="address">
          <w:r>
            <w:rPr>
              <w:i/>
              <w:iCs/>
            </w:rPr>
            <w:t>Harder Way</w:t>
          </w:r>
        </w:smartTag>
      </w:smartTag>
      <w:r>
        <w:rPr>
          <w:i/>
          <w:iCs/>
        </w:rPr>
        <w:t>:</w:t>
      </w:r>
      <w:r>
        <w:t xml:space="preserve"> If you do not have a scanner, you may create noncolor PostScript figures by “printing” them to files. First, download a PostScript printer driver from </w:t>
      </w:r>
      <w:hyperlink r:id="rId9" w:history="1">
        <w:r>
          <w:rPr>
            <w:rStyle w:val="Hyperlink"/>
          </w:rPr>
          <w:t>http://www.adobe.com/support/downloads/</w:t>
        </w:r>
        <w:r>
          <w:rPr>
            <w:rStyle w:val="Hyperlink"/>
          </w:rPr>
          <w:t>p</w:t>
        </w:r>
        <w:r>
          <w:rPr>
            <w:rStyle w:val="Hyperlink"/>
          </w:rPr>
          <w:t>dr</w:t>
        </w:r>
        <w:r>
          <w:rPr>
            <w:rStyle w:val="Hyperlink"/>
          </w:rPr>
          <w:t>v</w:t>
        </w:r>
        <w:r>
          <w:rPr>
            <w:rStyle w:val="Hyperlink"/>
          </w:rPr>
          <w:t>win.htm</w:t>
        </w:r>
      </w:hyperlink>
      <w:r>
        <w:t xml:space="preserve"> (for Windows) or from </w:t>
      </w:r>
      <w:hyperlink r:id="rId10" w:history="1">
        <w:r>
          <w:rPr>
            <w:rStyle w:val="Hyperlink"/>
          </w:rPr>
          <w:t>http://w</w:t>
        </w:r>
        <w:r>
          <w:rPr>
            <w:rStyle w:val="Hyperlink"/>
          </w:rPr>
          <w:t>w</w:t>
        </w:r>
        <w:r>
          <w:rPr>
            <w:rStyle w:val="Hyperlink"/>
          </w:rPr>
          <w:t>w.adobe.com/support/down</w:t>
        </w:r>
        <w:r>
          <w:rPr>
            <w:rStyle w:val="Hyperlink"/>
          </w:rPr>
          <w:t>l</w:t>
        </w:r>
        <w:r>
          <w:rPr>
            <w:rStyle w:val="Hyperlink"/>
          </w:rPr>
          <w:t>oads/ pdrvmac.htm</w:t>
        </w:r>
      </w:hyperlink>
      <w:r>
        <w:t xml:space="preserve"> (for Macintosh) and install the “Generic PostScript Printer” definition. In </w:t>
      </w:r>
      <w:r>
        <w:rPr>
          <w:i/>
          <w:iCs/>
        </w:rPr>
        <w:t>Word,</w:t>
      </w:r>
      <w:r>
        <w:t xml:space="preserve"> paste your figure into a new document. Print to a file using the PostScript printer driver. File names should be of the form “fig5.ps.” Use Adobe Type 1 fonts when creating your figures, if possible. </w:t>
      </w:r>
    </w:p>
    <w:p w:rsidR="007B292D" w:rsidRDefault="007B292D">
      <w:pPr>
        <w:pStyle w:val="Text"/>
      </w:pPr>
      <w:r>
        <w:rPr>
          <w:i/>
          <w:iCs/>
        </w:rPr>
        <w:t>4) Other Ways:</w:t>
      </w:r>
      <w:r>
        <w:t xml:space="preserve"> Experienced computer users can convert figures and tables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 97</w:t>
      </w:r>
      <w:r>
        <w:t xml:space="preserve"> and </w:t>
      </w:r>
      <w:r>
        <w:rPr>
          <w:i/>
          <w:iCs/>
        </w:rPr>
        <w:t>Office 2000</w:t>
      </w:r>
      <w:r>
        <w:t xml:space="preserve"> (look for C:\Program Files\Common Files \Microsoft Shared\ </w:t>
      </w:r>
      <w:proofErr w:type="spellStart"/>
      <w:r>
        <w:t>PhotoEd</w:t>
      </w:r>
      <w:proofErr w:type="spellEnd"/>
      <w:r>
        <w:t xml:space="preserve">\ PHOTOED.EXE. (You may have to custom-install </w:t>
      </w:r>
      <w:r>
        <w:rPr>
          <w:i/>
          <w:iCs/>
        </w:rPr>
        <w:t>Photo Editor</w:t>
      </w:r>
      <w:r>
        <w:t xml:space="preserve"> from your original </w:t>
      </w:r>
      <w:r>
        <w:rPr>
          <w:i/>
          <w:iCs/>
        </w:rPr>
        <w:t>Office</w:t>
      </w:r>
      <w:r>
        <w:t xml:space="preserve"> disk.)</w:t>
      </w:r>
    </w:p>
    <w:p w:rsidR="007B292D" w:rsidRDefault="007B292D">
      <w:pPr>
        <w:pStyle w:val="Text"/>
      </w:pPr>
      <w:r>
        <w:t>Here is a way to make TIFF image files of tables</w:t>
      </w:r>
      <w:r>
        <w:rPr>
          <w:i/>
          <w:iCs/>
        </w:rPr>
        <w:t>.</w:t>
      </w:r>
      <w:r>
        <w:t xml:space="preserve"> First, create your table in </w:t>
      </w:r>
      <w:r>
        <w:rPr>
          <w:i/>
          <w:iCs/>
        </w:rPr>
        <w:t>Word.</w:t>
      </w:r>
      <w:r>
        <w:t xml:space="preserve"> Use horizontal lines but no vertical lines. Hide gridlines (Table | Hide Gridlines). Spell check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Crop). Adjust the properties of the image (File | Properties) to monochrome (1 bit) and 600 pixels per inch. Resize the image (Image | Resize) to a width of 3.45 inches. Save the file (File | Save As) in TIFF with no compression (click “More” button). </w:t>
      </w:r>
    </w:p>
    <w:p w:rsidR="007B292D" w:rsidRDefault="007B292D">
      <w:pPr>
        <w:pStyle w:val="Text"/>
      </w:pPr>
      <w:r>
        <w:t xml:space="preserve">Most graphing programs allow you to save graphs in TIFF; however, you often have no control over compression or number of bits per pixel. You should open these image files in a program such as Microsoft </w:t>
      </w:r>
      <w:r>
        <w:rPr>
          <w:i/>
          <w:iCs/>
        </w:rPr>
        <w:t>Photo Editor</w:t>
      </w:r>
      <w:r>
        <w:t xml:space="preserve"> and re-save them using no compression, either 1 or 8 bits, and either 600 or 220 dpi resolution (File | Properties; Image | Resize). See Section II-D2 for an explanation of number of bits and resolution. If your graphing program cannot export to TIFF, you can use the same </w:t>
      </w:r>
      <w:r>
        <w:lastRenderedPageBreak/>
        <w:t>technique described for tables in the previous paragraph.</w:t>
      </w:r>
    </w:p>
    <w:p w:rsidR="007B292D" w:rsidRDefault="007B292D">
      <w:pPr>
        <w:pStyle w:val="Text"/>
      </w:pPr>
      <w:r>
        <w:t xml:space="preserve">A way to convert a figure from Windows Metafile (WMF) to TIFF is to paste it into Microsoft </w:t>
      </w:r>
      <w:r>
        <w:rPr>
          <w:i/>
          <w:iCs/>
        </w:rPr>
        <w:t>PowerPoint,</w:t>
      </w:r>
      <w:r>
        <w:t xml:space="preserve"> save it in JPG format, open it with Microsoft </w:t>
      </w:r>
      <w:r>
        <w:rPr>
          <w:i/>
          <w:iCs/>
        </w:rPr>
        <w:t>Photo Editor</w:t>
      </w:r>
      <w:r>
        <w:t xml:space="preserve"> or similar converter, and re-save it as TIFF.</w:t>
      </w:r>
    </w:p>
    <w:p w:rsidR="007B292D" w:rsidRDefault="007B292D">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the “Save as </w:t>
      </w:r>
    </w:p>
    <w:p w:rsidR="007B292D" w:rsidRDefault="007B292D">
      <w:pPr>
        <w:pStyle w:val="Text"/>
      </w:pPr>
    </w:p>
    <w:p w:rsidR="007B292D" w:rsidRDefault="00F948B1">
      <w:pPr>
        <w:pStyle w:val="Text"/>
        <w:ind w:firstLine="0"/>
      </w:pPr>
      <w:r>
        <w:rPr>
          <w:noProof/>
        </w:rPr>
        <mc:AlternateContent>
          <mc:Choice Requires="wps">
            <w:drawing>
              <wp:anchor distT="0" distB="0" distL="114300" distR="114300" simplePos="0" relativeHeight="251658240" behindDoc="0" locked="0" layoutInCell="1" allowOverlap="1">
                <wp:simplePos x="0" y="0"/>
                <wp:positionH relativeFrom="margin">
                  <wp:posOffset>28575</wp:posOffset>
                </wp:positionH>
                <wp:positionV relativeFrom="margin">
                  <wp:posOffset>86360</wp:posOffset>
                </wp:positionV>
                <wp:extent cx="3154680" cy="289560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92D" w:rsidRDefault="00F948B1">
                            <w:pPr>
                              <w:pStyle w:val="FootnoteText"/>
                              <w:ind w:firstLine="0"/>
                            </w:pPr>
                            <w:r>
                              <w:rPr>
                                <w:noProof/>
                                <w:sz w:val="20"/>
                                <w:szCs w:val="20"/>
                              </w:rPr>
                              <w:drawing>
                                <wp:inline distT="0" distB="0" distL="0" distR="0">
                                  <wp:extent cx="3154680" cy="2392680"/>
                                  <wp:effectExtent l="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392680"/>
                                          </a:xfrm>
                                          <a:prstGeom prst="rect">
                                            <a:avLst/>
                                          </a:prstGeom>
                                          <a:noFill/>
                                          <a:ln>
                                            <a:noFill/>
                                          </a:ln>
                                        </pic:spPr>
                                      </pic:pic>
                                    </a:graphicData>
                                  </a:graphic>
                                </wp:inline>
                              </w:drawing>
                            </w:r>
                          </w:p>
                          <w:p w:rsidR="007B292D" w:rsidRDefault="007B292D">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B292D" w:rsidRDefault="007B292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5pt;margin-top:6.8pt;width:248.4pt;height:22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" stroked="f">
                <v:textbox inset="0,0,0,0">
                  <w:txbxContent>
                    <w:p w:rsidR="007B292D" w:rsidRDefault="00F948B1">
                      <w:pPr>
                        <w:pStyle w:val="FootnoteText"/>
                        <w:ind w:firstLine="0"/>
                      </w:pPr>
                      <w:r>
                        <w:rPr>
                          <w:noProof/>
                          <w:sz w:val="20"/>
                          <w:szCs w:val="20"/>
                        </w:rPr>
                        <w:drawing>
                          <wp:inline distT="0" distB="0" distL="0" distR="0">
                            <wp:extent cx="3154680" cy="2392680"/>
                            <wp:effectExtent l="0" t="0" r="0" b="0"/>
                            <wp:docPr id="3" name="Pictur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392680"/>
                                    </a:xfrm>
                                    <a:prstGeom prst="rect">
                                      <a:avLst/>
                                    </a:prstGeom>
                                    <a:noFill/>
                                    <a:ln>
                                      <a:noFill/>
                                    </a:ln>
                                  </pic:spPr>
                                </pic:pic>
                              </a:graphicData>
                            </a:graphic>
                          </wp:inline>
                        </w:drawing>
                      </w:r>
                    </w:p>
                    <w:p w:rsidR="007B292D" w:rsidRDefault="007B292D">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B292D" w:rsidRDefault="007B292D">
                      <w:pPr>
                        <w:pStyle w:val="FootnoteText"/>
                        <w:ind w:firstLine="0"/>
                      </w:pPr>
                      <w:r>
                        <w:t xml:space="preserve"> </w:t>
                      </w:r>
                    </w:p>
                  </w:txbxContent>
                </v:textbox>
                <w10:wrap type="square" anchorx="margin" anchory="margin"/>
              </v:shape>
            </w:pict>
          </mc:Fallback>
        </mc:AlternateContent>
      </w:r>
      <w:r w:rsidR="007B292D">
        <w:t xml:space="preserve">HTML” feature (see </w:t>
      </w:r>
      <w:hyperlink r:id="rId12" w:history="1">
        <w:r w:rsidR="007B292D">
          <w:rPr>
            <w:rStyle w:val="Hyperlink"/>
          </w:rPr>
          <w:t>http://su</w:t>
        </w:r>
        <w:r w:rsidR="007B292D">
          <w:rPr>
            <w:rStyle w:val="Hyperlink"/>
          </w:rPr>
          <w:t>p</w:t>
        </w:r>
        <w:r w:rsidR="007B292D">
          <w:rPr>
            <w:rStyle w:val="Hyperlink"/>
          </w:rPr>
          <w:t>po</w:t>
        </w:r>
        <w:r w:rsidR="007B292D">
          <w:rPr>
            <w:rStyle w:val="Hyperlink"/>
          </w:rPr>
          <w:t>r</w:t>
        </w:r>
        <w:r w:rsidR="007B292D">
          <w:rPr>
            <w:rStyle w:val="Hyperlink"/>
          </w:rPr>
          <w:t>t.</w:t>
        </w:r>
        <w:r w:rsidR="007B292D">
          <w:rPr>
            <w:rStyle w:val="Hyperlink"/>
          </w:rPr>
          <w:t>m</w:t>
        </w:r>
        <w:r w:rsidR="007B292D">
          <w:rPr>
            <w:rStyle w:val="Hyperlink"/>
          </w:rPr>
          <w:t>icroso</w:t>
        </w:r>
        <w:r w:rsidR="007B292D">
          <w:rPr>
            <w:rStyle w:val="Hyperlink"/>
          </w:rPr>
          <w:t>f</w:t>
        </w:r>
        <w:r w:rsidR="007B292D">
          <w:rPr>
            <w:rStyle w:val="Hyperlink"/>
          </w:rPr>
          <w:t>t.com/support/ kb/articles</w:t>
        </w:r>
        <w:r w:rsidR="007B292D">
          <w:rPr>
            <w:rStyle w:val="Hyperlink"/>
          </w:rPr>
          <w:t>/</w:t>
        </w:r>
        <w:r w:rsidR="007B292D">
          <w:rPr>
            <w:rStyle w:val="Hyperlink"/>
          </w:rPr>
          <w:t>q158/0/79.asp</w:t>
        </w:r>
      </w:hyperlink>
      <w:r w:rsidR="007B292D">
        <w:t xml:space="preserve">). You can then convert from GIF to TIFF using Microsoft </w:t>
      </w:r>
      <w:r w:rsidR="007B292D">
        <w:rPr>
          <w:i/>
          <w:iCs/>
        </w:rPr>
        <w:t>Photo Editor,</w:t>
      </w:r>
      <w:r w:rsidR="007B292D">
        <w:t xml:space="preserve"> for example.</w:t>
      </w:r>
    </w:p>
    <w:p w:rsidR="007B292D" w:rsidRDefault="007B292D">
      <w:pPr>
        <w:pStyle w:val="Text"/>
      </w:pPr>
      <w:r>
        <w:t xml:space="preserve">No matter how you convert your images, it is a good idea to print the TIFF files to make sure nothing was lost in the conversion. </w:t>
      </w:r>
    </w:p>
    <w:p w:rsidR="007B292D" w:rsidRDefault="007B292D">
      <w:pPr>
        <w:pStyle w:val="Text"/>
      </w:pPr>
      <w:r>
        <w:t xml:space="preserve">If you modify this document for use with other IEEE journals or conferences, you should save it as type “Word 97-2000 &amp; 6.0/95 - RTF (*.doc)” so that it can be opened by any version of </w:t>
      </w:r>
      <w:r>
        <w:rPr>
          <w:i/>
          <w:iCs/>
        </w:rPr>
        <w:t>Word.</w:t>
      </w:r>
    </w:p>
    <w:p w:rsidR="007B292D" w:rsidRDefault="00F948B1">
      <w:pPr>
        <w:pStyle w:val="Heading2"/>
      </w:pPr>
      <w:r>
        <w:rPr>
          <w:noProof/>
        </w:rPr>
        <mc:AlternateContent>
          <mc:Choice Requires="wps">
            <w:drawing>
              <wp:anchor distT="0" distB="0" distL="114300" distR="114300" simplePos="0" relativeHeight="251657216"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92D" w:rsidRDefault="007B292D">
                            <w:pPr>
                              <w:pStyle w:val="TableTitle"/>
                            </w:pPr>
                            <w:r>
                              <w:t>TABLE I</w:t>
                            </w:r>
                          </w:p>
                          <w:p w:rsidR="007B292D" w:rsidRDefault="007B292D">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B292D">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rsidR="007B292D" w:rsidRDefault="007B292D">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B292D" w:rsidRDefault="007B292D">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B292D" w:rsidRDefault="007B292D">
                                  <w:pPr>
                                    <w:jc w:val="center"/>
                                    <w:rPr>
                                      <w:sz w:val="16"/>
                                      <w:szCs w:val="16"/>
                                    </w:rPr>
                                  </w:pPr>
                                  <w:r>
                                    <w:rPr>
                                      <w:sz w:val="16"/>
                                      <w:szCs w:val="16"/>
                                    </w:rPr>
                                    <w:t>Conversion from Gaussian and</w:t>
                                  </w:r>
                                </w:p>
                                <w:p w:rsidR="007B292D" w:rsidRDefault="007B292D">
                                  <w:pPr>
                                    <w:jc w:val="center"/>
                                    <w:rPr>
                                      <w:sz w:val="16"/>
                                      <w:szCs w:val="16"/>
                                    </w:rPr>
                                  </w:pPr>
                                  <w:r>
                                    <w:rPr>
                                      <w:sz w:val="16"/>
                                      <w:szCs w:val="16"/>
                                    </w:rPr>
                                    <w:t xml:space="preserve">CGS EMU to SI </w:t>
                                  </w:r>
                                  <w:r>
                                    <w:rPr>
                                      <w:sz w:val="16"/>
                                      <w:szCs w:val="16"/>
                                      <w:vertAlign w:val="superscript"/>
                                    </w:rPr>
                                    <w:t>a</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46"/>
                                  </w:r>
                                </w:p>
                              </w:tc>
                              <w:tc>
                                <w:tcPr>
                                  <w:tcW w:w="1710" w:type="dxa"/>
                                  <w:tcBorders>
                                    <w:top w:val="nil"/>
                                    <w:left w:val="nil"/>
                                    <w:bottom w:val="nil"/>
                                    <w:right w:val="nil"/>
                                  </w:tcBorders>
                                </w:tcPr>
                                <w:p w:rsidR="007B292D" w:rsidRDefault="007B292D">
                                  <w:pPr>
                                    <w:rPr>
                                      <w:sz w:val="16"/>
                                      <w:szCs w:val="16"/>
                                    </w:rPr>
                                  </w:pPr>
                                  <w:r>
                                    <w:rPr>
                                      <w:sz w:val="16"/>
                                      <w:szCs w:val="16"/>
                                    </w:rPr>
                                    <w:t>magnetic flux</w:t>
                                  </w:r>
                                </w:p>
                              </w:tc>
                              <w:tc>
                                <w:tcPr>
                                  <w:tcW w:w="2610" w:type="dxa"/>
                                  <w:tcBorders>
                                    <w:top w:val="nil"/>
                                    <w:left w:val="nil"/>
                                    <w:bottom w:val="nil"/>
                                    <w:right w:val="nil"/>
                                  </w:tcBorders>
                                </w:tcPr>
                                <w:p w:rsidR="007B292D" w:rsidRDefault="007B292D">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B</w:t>
                                  </w:r>
                                </w:p>
                              </w:tc>
                              <w:tc>
                                <w:tcPr>
                                  <w:tcW w:w="1710" w:type="dxa"/>
                                  <w:tcBorders>
                                    <w:top w:val="nil"/>
                                    <w:left w:val="nil"/>
                                    <w:bottom w:val="nil"/>
                                    <w:right w:val="nil"/>
                                  </w:tcBorders>
                                </w:tcPr>
                                <w:p w:rsidR="007B292D" w:rsidRDefault="007B292D">
                                  <w:pPr>
                                    <w:rPr>
                                      <w:sz w:val="16"/>
                                      <w:szCs w:val="16"/>
                                    </w:rPr>
                                  </w:pPr>
                                  <w:r>
                                    <w:rPr>
                                      <w:sz w:val="16"/>
                                      <w:szCs w:val="16"/>
                                    </w:rPr>
                                    <w:t xml:space="preserve">magnetic flux density, </w:t>
                                  </w:r>
                                </w:p>
                                <w:p w:rsidR="007B292D" w:rsidRDefault="007B292D">
                                  <w:pPr>
                                    <w:rPr>
                                      <w:sz w:val="16"/>
                                      <w:szCs w:val="16"/>
                                    </w:rPr>
                                  </w:pPr>
                                  <w:r>
                                    <w:rPr>
                                      <w:sz w:val="16"/>
                                      <w:szCs w:val="16"/>
                                    </w:rPr>
                                    <w:t xml:space="preserve">  magnetic induction</w:t>
                                  </w:r>
                                </w:p>
                              </w:tc>
                              <w:tc>
                                <w:tcPr>
                                  <w:tcW w:w="2610" w:type="dxa"/>
                                  <w:tcBorders>
                                    <w:top w:val="nil"/>
                                    <w:left w:val="nil"/>
                                    <w:bottom w:val="nil"/>
                                    <w:right w:val="nil"/>
                                  </w:tcBorders>
                                </w:tcPr>
                                <w:p w:rsidR="007B292D" w:rsidRDefault="007B292D">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H</w:t>
                                  </w:r>
                                </w:p>
                              </w:tc>
                              <w:tc>
                                <w:tcPr>
                                  <w:tcW w:w="1710" w:type="dxa"/>
                                  <w:tcBorders>
                                    <w:top w:val="nil"/>
                                    <w:left w:val="nil"/>
                                    <w:bottom w:val="nil"/>
                                    <w:right w:val="nil"/>
                                  </w:tcBorders>
                                </w:tcPr>
                                <w:p w:rsidR="007B292D" w:rsidRDefault="007B292D">
                                  <w:pPr>
                                    <w:rPr>
                                      <w:sz w:val="16"/>
                                      <w:szCs w:val="16"/>
                                    </w:rPr>
                                  </w:pPr>
                                  <w:r>
                                    <w:rPr>
                                      <w:sz w:val="16"/>
                                      <w:szCs w:val="16"/>
                                    </w:rPr>
                                    <w:t>magnetic field strength</w:t>
                                  </w:r>
                                </w:p>
                              </w:tc>
                              <w:tc>
                                <w:tcPr>
                                  <w:tcW w:w="2610" w:type="dxa"/>
                                  <w:tcBorders>
                                    <w:top w:val="nil"/>
                                    <w:left w:val="nil"/>
                                    <w:bottom w:val="nil"/>
                                    <w:right w:val="nil"/>
                                  </w:tcBorders>
                                </w:tcPr>
                                <w:p w:rsidR="007B292D" w:rsidRDefault="007B292D">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m</w:t>
                                  </w:r>
                                </w:p>
                              </w:tc>
                              <w:tc>
                                <w:tcPr>
                                  <w:tcW w:w="1710" w:type="dxa"/>
                                  <w:tcBorders>
                                    <w:top w:val="nil"/>
                                    <w:left w:val="nil"/>
                                    <w:bottom w:val="nil"/>
                                    <w:right w:val="nil"/>
                                  </w:tcBorders>
                                </w:tcPr>
                                <w:p w:rsidR="007B292D" w:rsidRDefault="007B292D">
                                  <w:pPr>
                                    <w:rPr>
                                      <w:sz w:val="16"/>
                                      <w:szCs w:val="16"/>
                                      <w:vertAlign w:val="superscript"/>
                                    </w:rPr>
                                  </w:pPr>
                                  <w:r>
                                    <w:rPr>
                                      <w:sz w:val="16"/>
                                      <w:szCs w:val="16"/>
                                    </w:rPr>
                                    <w:t>magnetic moment</w:t>
                                  </w:r>
                                </w:p>
                              </w:tc>
                              <w:tc>
                                <w:tcPr>
                                  <w:tcW w:w="2610" w:type="dxa"/>
                                  <w:tcBorders>
                                    <w:top w:val="nil"/>
                                    <w:left w:val="nil"/>
                                    <w:bottom w:val="nil"/>
                                    <w:right w:val="nil"/>
                                  </w:tcBorders>
                                </w:tcPr>
                                <w:p w:rsidR="007B292D" w:rsidRDefault="007B292D">
                                  <w:pPr>
                                    <w:rPr>
                                      <w:sz w:val="16"/>
                                      <w:szCs w:val="16"/>
                                    </w:rPr>
                                  </w:pPr>
                                  <w:r>
                                    <w:rPr>
                                      <w:sz w:val="16"/>
                                      <w:szCs w:val="16"/>
                                    </w:rPr>
                                    <w:t xml:space="preserve">1 erg/G = 1 emu </w:t>
                                  </w:r>
                                </w:p>
                                <w:p w:rsidR="007B292D" w:rsidRDefault="007B292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M</w:t>
                                  </w:r>
                                </w:p>
                              </w:tc>
                              <w:tc>
                                <w:tcPr>
                                  <w:tcW w:w="1710" w:type="dxa"/>
                                  <w:tcBorders>
                                    <w:top w:val="nil"/>
                                    <w:left w:val="nil"/>
                                    <w:bottom w:val="nil"/>
                                    <w:right w:val="nil"/>
                                  </w:tcBorders>
                                </w:tcPr>
                                <w:p w:rsidR="007B292D" w:rsidRDefault="007B292D">
                                  <w:pPr>
                                    <w:rPr>
                                      <w:sz w:val="16"/>
                                      <w:szCs w:val="16"/>
                                    </w:rPr>
                                  </w:pPr>
                                  <w:r>
                                    <w:rPr>
                                      <w:sz w:val="16"/>
                                      <w:szCs w:val="16"/>
                                    </w:rPr>
                                    <w:t>magnetization</w:t>
                                  </w:r>
                                </w:p>
                              </w:tc>
                              <w:tc>
                                <w:tcPr>
                                  <w:tcW w:w="2610" w:type="dxa"/>
                                  <w:tcBorders>
                                    <w:top w:val="nil"/>
                                    <w:left w:val="nil"/>
                                    <w:bottom w:val="nil"/>
                                    <w:right w:val="nil"/>
                                  </w:tcBorders>
                                </w:tcPr>
                                <w:p w:rsidR="007B292D" w:rsidRDefault="007B292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B292D" w:rsidRDefault="007B292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B292D" w:rsidRDefault="007B292D">
                                  <w:pPr>
                                    <w:rPr>
                                      <w:sz w:val="16"/>
                                      <w:szCs w:val="16"/>
                                    </w:rPr>
                                  </w:pPr>
                                  <w:r>
                                    <w:rPr>
                                      <w:sz w:val="16"/>
                                      <w:szCs w:val="16"/>
                                    </w:rPr>
                                    <w:t>magnetization</w:t>
                                  </w:r>
                                </w:p>
                              </w:tc>
                              <w:tc>
                                <w:tcPr>
                                  <w:tcW w:w="2610" w:type="dxa"/>
                                  <w:tcBorders>
                                    <w:top w:val="nil"/>
                                    <w:left w:val="nil"/>
                                    <w:bottom w:val="nil"/>
                                    <w:right w:val="nil"/>
                                  </w:tcBorders>
                                </w:tcPr>
                                <w:p w:rsidR="007B292D" w:rsidRDefault="007B292D">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73"/>
                                  </w:r>
                                </w:p>
                              </w:tc>
                              <w:tc>
                                <w:tcPr>
                                  <w:tcW w:w="1710" w:type="dxa"/>
                                  <w:tcBorders>
                                    <w:top w:val="nil"/>
                                    <w:left w:val="nil"/>
                                    <w:bottom w:val="nil"/>
                                    <w:right w:val="nil"/>
                                  </w:tcBorders>
                                </w:tcPr>
                                <w:p w:rsidR="007B292D" w:rsidRDefault="007B292D">
                                  <w:pPr>
                                    <w:rPr>
                                      <w:sz w:val="16"/>
                                      <w:szCs w:val="16"/>
                                    </w:rPr>
                                  </w:pPr>
                                  <w:r>
                                    <w:rPr>
                                      <w:sz w:val="16"/>
                                      <w:szCs w:val="16"/>
                                    </w:rPr>
                                    <w:t>specific magnetization</w:t>
                                  </w:r>
                                </w:p>
                              </w:tc>
                              <w:tc>
                                <w:tcPr>
                                  <w:tcW w:w="2610" w:type="dxa"/>
                                  <w:tcBorders>
                                    <w:top w:val="nil"/>
                                    <w:left w:val="nil"/>
                                    <w:bottom w:val="nil"/>
                                    <w:right w:val="nil"/>
                                  </w:tcBorders>
                                </w:tcPr>
                                <w:p w:rsidR="007B292D" w:rsidRDefault="007B292D">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j</w:t>
                                  </w:r>
                                </w:p>
                              </w:tc>
                              <w:tc>
                                <w:tcPr>
                                  <w:tcW w:w="1710" w:type="dxa"/>
                                  <w:tcBorders>
                                    <w:top w:val="nil"/>
                                    <w:left w:val="nil"/>
                                    <w:bottom w:val="nil"/>
                                    <w:right w:val="nil"/>
                                  </w:tcBorders>
                                </w:tcPr>
                                <w:p w:rsidR="007B292D" w:rsidRDefault="007B292D">
                                  <w:pPr>
                                    <w:rPr>
                                      <w:sz w:val="16"/>
                                      <w:szCs w:val="16"/>
                                    </w:rPr>
                                  </w:pPr>
                                  <w:r>
                                    <w:rPr>
                                      <w:sz w:val="16"/>
                                      <w:szCs w:val="16"/>
                                    </w:rPr>
                                    <w:t xml:space="preserve">magnetic dipole </w:t>
                                  </w:r>
                                </w:p>
                                <w:p w:rsidR="007B292D" w:rsidRDefault="007B292D">
                                  <w:pPr>
                                    <w:rPr>
                                      <w:sz w:val="16"/>
                                      <w:szCs w:val="16"/>
                                    </w:rPr>
                                  </w:pPr>
                                  <w:r>
                                    <w:rPr>
                                      <w:sz w:val="16"/>
                                      <w:szCs w:val="16"/>
                                    </w:rPr>
                                    <w:t xml:space="preserve">  moment</w:t>
                                  </w:r>
                                </w:p>
                              </w:tc>
                              <w:tc>
                                <w:tcPr>
                                  <w:tcW w:w="2610" w:type="dxa"/>
                                  <w:tcBorders>
                                    <w:top w:val="nil"/>
                                    <w:left w:val="nil"/>
                                    <w:bottom w:val="nil"/>
                                    <w:right w:val="nil"/>
                                  </w:tcBorders>
                                </w:tcPr>
                                <w:p w:rsidR="007B292D" w:rsidRDefault="007B292D">
                                  <w:pPr>
                                    <w:rPr>
                                      <w:sz w:val="16"/>
                                      <w:szCs w:val="16"/>
                                    </w:rPr>
                                  </w:pPr>
                                  <w:r>
                                    <w:rPr>
                                      <w:sz w:val="16"/>
                                      <w:szCs w:val="16"/>
                                    </w:rPr>
                                    <w:t xml:space="preserve">1 erg/G = 1 emu </w:t>
                                  </w:r>
                                </w:p>
                                <w:p w:rsidR="007B292D" w:rsidRDefault="007B292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J</w:t>
                                  </w:r>
                                </w:p>
                              </w:tc>
                              <w:tc>
                                <w:tcPr>
                                  <w:tcW w:w="1710" w:type="dxa"/>
                                  <w:tcBorders>
                                    <w:top w:val="nil"/>
                                    <w:left w:val="nil"/>
                                    <w:bottom w:val="nil"/>
                                    <w:right w:val="nil"/>
                                  </w:tcBorders>
                                </w:tcPr>
                                <w:p w:rsidR="007B292D" w:rsidRDefault="007B292D">
                                  <w:pPr>
                                    <w:rPr>
                                      <w:sz w:val="16"/>
                                      <w:szCs w:val="16"/>
                                    </w:rPr>
                                  </w:pPr>
                                  <w:r>
                                    <w:rPr>
                                      <w:sz w:val="16"/>
                                      <w:szCs w:val="16"/>
                                    </w:rPr>
                                    <w:t>magnetic polarization</w:t>
                                  </w:r>
                                </w:p>
                              </w:tc>
                              <w:tc>
                                <w:tcPr>
                                  <w:tcW w:w="2610" w:type="dxa"/>
                                  <w:tcBorders>
                                    <w:top w:val="nil"/>
                                    <w:left w:val="nil"/>
                                    <w:bottom w:val="nil"/>
                                    <w:right w:val="nil"/>
                                  </w:tcBorders>
                                </w:tcPr>
                                <w:p w:rsidR="007B292D" w:rsidRDefault="007B292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B292D" w:rsidRDefault="007B292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B292D" w:rsidRDefault="007B292D">
                                  <w:pPr>
                                    <w:rPr>
                                      <w:sz w:val="16"/>
                                      <w:szCs w:val="16"/>
                                    </w:rPr>
                                  </w:pPr>
                                  <w:r>
                                    <w:rPr>
                                      <w:sz w:val="16"/>
                                      <w:szCs w:val="16"/>
                                    </w:rPr>
                                    <w:t>susceptibility</w:t>
                                  </w:r>
                                </w:p>
                              </w:tc>
                              <w:tc>
                                <w:tcPr>
                                  <w:tcW w:w="2610" w:type="dxa"/>
                                  <w:tcBorders>
                                    <w:top w:val="nil"/>
                                    <w:left w:val="nil"/>
                                    <w:bottom w:val="nil"/>
                                    <w:right w:val="nil"/>
                                  </w:tcBorders>
                                </w:tcPr>
                                <w:p w:rsidR="007B292D" w:rsidRDefault="007B292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B292D" w:rsidRDefault="007B292D">
                                  <w:pPr>
                                    <w:rPr>
                                      <w:sz w:val="16"/>
                                      <w:szCs w:val="16"/>
                                    </w:rPr>
                                  </w:pPr>
                                  <w:r>
                                    <w:rPr>
                                      <w:sz w:val="16"/>
                                      <w:szCs w:val="16"/>
                                    </w:rPr>
                                    <w:t>mass susceptibility</w:t>
                                  </w:r>
                                </w:p>
                              </w:tc>
                              <w:tc>
                                <w:tcPr>
                                  <w:tcW w:w="2610" w:type="dxa"/>
                                  <w:tcBorders>
                                    <w:top w:val="nil"/>
                                    <w:left w:val="nil"/>
                                    <w:bottom w:val="nil"/>
                                    <w:right w:val="nil"/>
                                  </w:tcBorders>
                                </w:tcPr>
                                <w:p w:rsidR="007B292D" w:rsidRDefault="007B292D">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6D"/>
                                  </w:r>
                                </w:p>
                              </w:tc>
                              <w:tc>
                                <w:tcPr>
                                  <w:tcW w:w="1710" w:type="dxa"/>
                                  <w:tcBorders>
                                    <w:top w:val="nil"/>
                                    <w:left w:val="nil"/>
                                    <w:bottom w:val="nil"/>
                                    <w:right w:val="nil"/>
                                  </w:tcBorders>
                                </w:tcPr>
                                <w:p w:rsidR="007B292D" w:rsidRDefault="007B292D">
                                  <w:pPr>
                                    <w:rPr>
                                      <w:sz w:val="16"/>
                                      <w:szCs w:val="16"/>
                                    </w:rPr>
                                  </w:pPr>
                                  <w:r>
                                    <w:rPr>
                                      <w:sz w:val="16"/>
                                      <w:szCs w:val="16"/>
                                    </w:rPr>
                                    <w:t>permeability</w:t>
                                  </w:r>
                                </w:p>
                              </w:tc>
                              <w:tc>
                                <w:tcPr>
                                  <w:tcW w:w="2610" w:type="dxa"/>
                                  <w:tcBorders>
                                    <w:top w:val="nil"/>
                                    <w:left w:val="nil"/>
                                    <w:bottom w:val="nil"/>
                                    <w:right w:val="nil"/>
                                  </w:tcBorders>
                                </w:tcPr>
                                <w:p w:rsidR="007B292D" w:rsidRDefault="007B292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B292D" w:rsidRDefault="007B292D">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B292D" w:rsidRDefault="007B292D">
                                  <w:pPr>
                                    <w:rPr>
                                      <w:sz w:val="16"/>
                                      <w:szCs w:val="16"/>
                                    </w:rPr>
                                  </w:pPr>
                                  <w:r>
                                    <w:rPr>
                                      <w:sz w:val="16"/>
                                      <w:szCs w:val="16"/>
                                    </w:rPr>
                                    <w:t>relative permeability</w:t>
                                  </w:r>
                                </w:p>
                              </w:tc>
                              <w:tc>
                                <w:tcPr>
                                  <w:tcW w:w="2610" w:type="dxa"/>
                                  <w:tcBorders>
                                    <w:top w:val="nil"/>
                                    <w:left w:val="nil"/>
                                    <w:bottom w:val="nil"/>
                                    <w:right w:val="nil"/>
                                  </w:tcBorders>
                                </w:tcPr>
                                <w:p w:rsidR="007B292D" w:rsidRDefault="007B292D">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w, W</w:t>
                                  </w:r>
                                </w:p>
                              </w:tc>
                              <w:tc>
                                <w:tcPr>
                                  <w:tcW w:w="1710" w:type="dxa"/>
                                  <w:tcBorders>
                                    <w:top w:val="nil"/>
                                    <w:left w:val="nil"/>
                                    <w:bottom w:val="nil"/>
                                    <w:right w:val="nil"/>
                                  </w:tcBorders>
                                </w:tcPr>
                                <w:p w:rsidR="007B292D" w:rsidRDefault="007B292D">
                                  <w:pPr>
                                    <w:rPr>
                                      <w:sz w:val="16"/>
                                      <w:szCs w:val="16"/>
                                    </w:rPr>
                                  </w:pPr>
                                  <w:r>
                                    <w:rPr>
                                      <w:sz w:val="16"/>
                                      <w:szCs w:val="16"/>
                                    </w:rPr>
                                    <w:t>energy density</w:t>
                                  </w:r>
                                </w:p>
                              </w:tc>
                              <w:tc>
                                <w:tcPr>
                                  <w:tcW w:w="2610" w:type="dxa"/>
                                  <w:tcBorders>
                                    <w:top w:val="nil"/>
                                    <w:left w:val="nil"/>
                                    <w:bottom w:val="nil"/>
                                    <w:right w:val="nil"/>
                                  </w:tcBorders>
                                </w:tcPr>
                                <w:p w:rsidR="007B292D" w:rsidRDefault="007B292D">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B292D">
                              <w:tblPrEx>
                                <w:tblCellMar>
                                  <w:top w:w="0" w:type="dxa"/>
                                  <w:bottom w:w="0" w:type="dxa"/>
                                </w:tblCellMar>
                              </w:tblPrEx>
                              <w:trPr>
                                <w:trHeight w:val="279"/>
                              </w:trPr>
                              <w:tc>
                                <w:tcPr>
                                  <w:tcW w:w="720" w:type="dxa"/>
                                  <w:tcBorders>
                                    <w:top w:val="nil"/>
                                    <w:left w:val="nil"/>
                                    <w:bottom w:val="double" w:sz="6" w:space="0" w:color="auto"/>
                                    <w:right w:val="nil"/>
                                  </w:tcBorders>
                                </w:tcPr>
                                <w:p w:rsidR="007B292D" w:rsidRDefault="007B292D">
                                  <w:pPr>
                                    <w:rPr>
                                      <w:i/>
                                      <w:iCs/>
                                      <w:sz w:val="16"/>
                                      <w:szCs w:val="16"/>
                                    </w:rPr>
                                  </w:pPr>
                                  <w:r>
                                    <w:rPr>
                                      <w:i/>
                                      <w:iCs/>
                                      <w:sz w:val="16"/>
                                      <w:szCs w:val="16"/>
                                    </w:rPr>
                                    <w:t>N, D</w:t>
                                  </w:r>
                                </w:p>
                              </w:tc>
                              <w:tc>
                                <w:tcPr>
                                  <w:tcW w:w="1710" w:type="dxa"/>
                                  <w:tcBorders>
                                    <w:top w:val="nil"/>
                                    <w:left w:val="nil"/>
                                    <w:bottom w:val="double" w:sz="6" w:space="0" w:color="auto"/>
                                    <w:right w:val="nil"/>
                                  </w:tcBorders>
                                </w:tcPr>
                                <w:p w:rsidR="007B292D" w:rsidRDefault="007B292D">
                                  <w:pPr>
                                    <w:rPr>
                                      <w:sz w:val="16"/>
                                      <w:szCs w:val="16"/>
                                    </w:rPr>
                                  </w:pPr>
                                  <w:r>
                                    <w:rPr>
                                      <w:sz w:val="16"/>
                                      <w:szCs w:val="16"/>
                                    </w:rPr>
                                    <w:t>demagnetizing factor</w:t>
                                  </w:r>
                                </w:p>
                              </w:tc>
                              <w:tc>
                                <w:tcPr>
                                  <w:tcW w:w="2610" w:type="dxa"/>
                                  <w:tcBorders>
                                    <w:top w:val="nil"/>
                                    <w:left w:val="nil"/>
                                    <w:bottom w:val="double" w:sz="6" w:space="0" w:color="auto"/>
                                    <w:right w:val="nil"/>
                                  </w:tcBorders>
                                </w:tcPr>
                                <w:p w:rsidR="007B292D" w:rsidRDefault="007B292D">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7B292D" w:rsidRDefault="007B292D">
                            <w:pPr>
                              <w:pStyle w:val="FootnoteText"/>
                            </w:pPr>
                            <w:r>
                              <w:t xml:space="preserve">No vertical lines in table. Statements that serve as captions for the entire table do not need footnote letters. </w:t>
                            </w:r>
                          </w:p>
                          <w:p w:rsidR="007B292D" w:rsidRDefault="007B292D">
                            <w:pPr>
                              <w:pStyle w:val="FootnoteText"/>
                            </w:pPr>
                            <w:proofErr w:type="spellStart"/>
                            <w:r>
                              <w:rPr>
                                <w:vertAlign w:val="superscript"/>
                              </w:rPr>
                              <w:t>a</w:t>
                            </w:r>
                            <w:r>
                              <w:t>Gaussian</w:t>
                            </w:r>
                            <w:proofErr w:type="spellEnd"/>
                            <w:r>
                              <w:t xml:space="preserve"> units are the same as </w:t>
                            </w:r>
                            <w:proofErr w:type="spellStart"/>
                            <w:r>
                              <w:t>cgs</w:t>
                            </w:r>
                            <w:proofErr w:type="spellEnd"/>
                            <w:r>
                              <w:t xml:space="preserve">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7B292D" w:rsidRDefault="007B292D">
                            <w:pPr>
                              <w:pStyle w:val="FootnoteText"/>
                            </w:pPr>
                          </w:p>
                          <w:p w:rsidR="007B292D" w:rsidRDefault="007B29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70pt;margin-top:0;width:248.4pt;height:318.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rsidR="007B292D" w:rsidRDefault="007B292D">
                      <w:pPr>
                        <w:pStyle w:val="TableTitle"/>
                      </w:pPr>
                      <w:r>
                        <w:t>TABLE I</w:t>
                      </w:r>
                    </w:p>
                    <w:p w:rsidR="007B292D" w:rsidRDefault="007B292D">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B292D">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rsidR="007B292D" w:rsidRDefault="007B292D">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B292D" w:rsidRDefault="007B292D">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B292D" w:rsidRDefault="007B292D">
                            <w:pPr>
                              <w:jc w:val="center"/>
                              <w:rPr>
                                <w:sz w:val="16"/>
                                <w:szCs w:val="16"/>
                              </w:rPr>
                            </w:pPr>
                            <w:r>
                              <w:rPr>
                                <w:sz w:val="16"/>
                                <w:szCs w:val="16"/>
                              </w:rPr>
                              <w:t>Conversion from Gaussian and</w:t>
                            </w:r>
                          </w:p>
                          <w:p w:rsidR="007B292D" w:rsidRDefault="007B292D">
                            <w:pPr>
                              <w:jc w:val="center"/>
                              <w:rPr>
                                <w:sz w:val="16"/>
                                <w:szCs w:val="16"/>
                              </w:rPr>
                            </w:pPr>
                            <w:r>
                              <w:rPr>
                                <w:sz w:val="16"/>
                                <w:szCs w:val="16"/>
                              </w:rPr>
                              <w:t xml:space="preserve">CGS EMU to SI </w:t>
                            </w:r>
                            <w:r>
                              <w:rPr>
                                <w:sz w:val="16"/>
                                <w:szCs w:val="16"/>
                                <w:vertAlign w:val="superscript"/>
                              </w:rPr>
                              <w:t>a</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46"/>
                            </w:r>
                          </w:p>
                        </w:tc>
                        <w:tc>
                          <w:tcPr>
                            <w:tcW w:w="1710" w:type="dxa"/>
                            <w:tcBorders>
                              <w:top w:val="nil"/>
                              <w:left w:val="nil"/>
                              <w:bottom w:val="nil"/>
                              <w:right w:val="nil"/>
                            </w:tcBorders>
                          </w:tcPr>
                          <w:p w:rsidR="007B292D" w:rsidRDefault="007B292D">
                            <w:pPr>
                              <w:rPr>
                                <w:sz w:val="16"/>
                                <w:szCs w:val="16"/>
                              </w:rPr>
                            </w:pPr>
                            <w:r>
                              <w:rPr>
                                <w:sz w:val="16"/>
                                <w:szCs w:val="16"/>
                              </w:rPr>
                              <w:t>magnetic flux</w:t>
                            </w:r>
                          </w:p>
                        </w:tc>
                        <w:tc>
                          <w:tcPr>
                            <w:tcW w:w="2610" w:type="dxa"/>
                            <w:tcBorders>
                              <w:top w:val="nil"/>
                              <w:left w:val="nil"/>
                              <w:bottom w:val="nil"/>
                              <w:right w:val="nil"/>
                            </w:tcBorders>
                          </w:tcPr>
                          <w:p w:rsidR="007B292D" w:rsidRDefault="007B292D">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B</w:t>
                            </w:r>
                          </w:p>
                        </w:tc>
                        <w:tc>
                          <w:tcPr>
                            <w:tcW w:w="1710" w:type="dxa"/>
                            <w:tcBorders>
                              <w:top w:val="nil"/>
                              <w:left w:val="nil"/>
                              <w:bottom w:val="nil"/>
                              <w:right w:val="nil"/>
                            </w:tcBorders>
                          </w:tcPr>
                          <w:p w:rsidR="007B292D" w:rsidRDefault="007B292D">
                            <w:pPr>
                              <w:rPr>
                                <w:sz w:val="16"/>
                                <w:szCs w:val="16"/>
                              </w:rPr>
                            </w:pPr>
                            <w:r>
                              <w:rPr>
                                <w:sz w:val="16"/>
                                <w:szCs w:val="16"/>
                              </w:rPr>
                              <w:t xml:space="preserve">magnetic flux density, </w:t>
                            </w:r>
                          </w:p>
                          <w:p w:rsidR="007B292D" w:rsidRDefault="007B292D">
                            <w:pPr>
                              <w:rPr>
                                <w:sz w:val="16"/>
                                <w:szCs w:val="16"/>
                              </w:rPr>
                            </w:pPr>
                            <w:r>
                              <w:rPr>
                                <w:sz w:val="16"/>
                                <w:szCs w:val="16"/>
                              </w:rPr>
                              <w:t xml:space="preserve">  magnetic induction</w:t>
                            </w:r>
                          </w:p>
                        </w:tc>
                        <w:tc>
                          <w:tcPr>
                            <w:tcW w:w="2610" w:type="dxa"/>
                            <w:tcBorders>
                              <w:top w:val="nil"/>
                              <w:left w:val="nil"/>
                              <w:bottom w:val="nil"/>
                              <w:right w:val="nil"/>
                            </w:tcBorders>
                          </w:tcPr>
                          <w:p w:rsidR="007B292D" w:rsidRDefault="007B292D">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H</w:t>
                            </w:r>
                          </w:p>
                        </w:tc>
                        <w:tc>
                          <w:tcPr>
                            <w:tcW w:w="1710" w:type="dxa"/>
                            <w:tcBorders>
                              <w:top w:val="nil"/>
                              <w:left w:val="nil"/>
                              <w:bottom w:val="nil"/>
                              <w:right w:val="nil"/>
                            </w:tcBorders>
                          </w:tcPr>
                          <w:p w:rsidR="007B292D" w:rsidRDefault="007B292D">
                            <w:pPr>
                              <w:rPr>
                                <w:sz w:val="16"/>
                                <w:szCs w:val="16"/>
                              </w:rPr>
                            </w:pPr>
                            <w:r>
                              <w:rPr>
                                <w:sz w:val="16"/>
                                <w:szCs w:val="16"/>
                              </w:rPr>
                              <w:t>magnetic field strength</w:t>
                            </w:r>
                          </w:p>
                        </w:tc>
                        <w:tc>
                          <w:tcPr>
                            <w:tcW w:w="2610" w:type="dxa"/>
                            <w:tcBorders>
                              <w:top w:val="nil"/>
                              <w:left w:val="nil"/>
                              <w:bottom w:val="nil"/>
                              <w:right w:val="nil"/>
                            </w:tcBorders>
                          </w:tcPr>
                          <w:p w:rsidR="007B292D" w:rsidRDefault="007B292D">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m</w:t>
                            </w:r>
                          </w:p>
                        </w:tc>
                        <w:tc>
                          <w:tcPr>
                            <w:tcW w:w="1710" w:type="dxa"/>
                            <w:tcBorders>
                              <w:top w:val="nil"/>
                              <w:left w:val="nil"/>
                              <w:bottom w:val="nil"/>
                              <w:right w:val="nil"/>
                            </w:tcBorders>
                          </w:tcPr>
                          <w:p w:rsidR="007B292D" w:rsidRDefault="007B292D">
                            <w:pPr>
                              <w:rPr>
                                <w:sz w:val="16"/>
                                <w:szCs w:val="16"/>
                                <w:vertAlign w:val="superscript"/>
                              </w:rPr>
                            </w:pPr>
                            <w:r>
                              <w:rPr>
                                <w:sz w:val="16"/>
                                <w:szCs w:val="16"/>
                              </w:rPr>
                              <w:t>magnetic moment</w:t>
                            </w:r>
                          </w:p>
                        </w:tc>
                        <w:tc>
                          <w:tcPr>
                            <w:tcW w:w="2610" w:type="dxa"/>
                            <w:tcBorders>
                              <w:top w:val="nil"/>
                              <w:left w:val="nil"/>
                              <w:bottom w:val="nil"/>
                              <w:right w:val="nil"/>
                            </w:tcBorders>
                          </w:tcPr>
                          <w:p w:rsidR="007B292D" w:rsidRDefault="007B292D">
                            <w:pPr>
                              <w:rPr>
                                <w:sz w:val="16"/>
                                <w:szCs w:val="16"/>
                              </w:rPr>
                            </w:pPr>
                            <w:r>
                              <w:rPr>
                                <w:sz w:val="16"/>
                                <w:szCs w:val="16"/>
                              </w:rPr>
                              <w:t xml:space="preserve">1 erg/G = 1 emu </w:t>
                            </w:r>
                          </w:p>
                          <w:p w:rsidR="007B292D" w:rsidRDefault="007B292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M</w:t>
                            </w:r>
                          </w:p>
                        </w:tc>
                        <w:tc>
                          <w:tcPr>
                            <w:tcW w:w="1710" w:type="dxa"/>
                            <w:tcBorders>
                              <w:top w:val="nil"/>
                              <w:left w:val="nil"/>
                              <w:bottom w:val="nil"/>
                              <w:right w:val="nil"/>
                            </w:tcBorders>
                          </w:tcPr>
                          <w:p w:rsidR="007B292D" w:rsidRDefault="007B292D">
                            <w:pPr>
                              <w:rPr>
                                <w:sz w:val="16"/>
                                <w:szCs w:val="16"/>
                              </w:rPr>
                            </w:pPr>
                            <w:r>
                              <w:rPr>
                                <w:sz w:val="16"/>
                                <w:szCs w:val="16"/>
                              </w:rPr>
                              <w:t>magnetization</w:t>
                            </w:r>
                          </w:p>
                        </w:tc>
                        <w:tc>
                          <w:tcPr>
                            <w:tcW w:w="2610" w:type="dxa"/>
                            <w:tcBorders>
                              <w:top w:val="nil"/>
                              <w:left w:val="nil"/>
                              <w:bottom w:val="nil"/>
                              <w:right w:val="nil"/>
                            </w:tcBorders>
                          </w:tcPr>
                          <w:p w:rsidR="007B292D" w:rsidRDefault="007B292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B292D" w:rsidRDefault="007B292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B292D" w:rsidRDefault="007B292D">
                            <w:pPr>
                              <w:rPr>
                                <w:sz w:val="16"/>
                                <w:szCs w:val="16"/>
                              </w:rPr>
                            </w:pPr>
                            <w:r>
                              <w:rPr>
                                <w:sz w:val="16"/>
                                <w:szCs w:val="16"/>
                              </w:rPr>
                              <w:t>magnetization</w:t>
                            </w:r>
                          </w:p>
                        </w:tc>
                        <w:tc>
                          <w:tcPr>
                            <w:tcW w:w="2610" w:type="dxa"/>
                            <w:tcBorders>
                              <w:top w:val="nil"/>
                              <w:left w:val="nil"/>
                              <w:bottom w:val="nil"/>
                              <w:right w:val="nil"/>
                            </w:tcBorders>
                          </w:tcPr>
                          <w:p w:rsidR="007B292D" w:rsidRDefault="007B292D">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73"/>
                            </w:r>
                          </w:p>
                        </w:tc>
                        <w:tc>
                          <w:tcPr>
                            <w:tcW w:w="1710" w:type="dxa"/>
                            <w:tcBorders>
                              <w:top w:val="nil"/>
                              <w:left w:val="nil"/>
                              <w:bottom w:val="nil"/>
                              <w:right w:val="nil"/>
                            </w:tcBorders>
                          </w:tcPr>
                          <w:p w:rsidR="007B292D" w:rsidRDefault="007B292D">
                            <w:pPr>
                              <w:rPr>
                                <w:sz w:val="16"/>
                                <w:szCs w:val="16"/>
                              </w:rPr>
                            </w:pPr>
                            <w:r>
                              <w:rPr>
                                <w:sz w:val="16"/>
                                <w:szCs w:val="16"/>
                              </w:rPr>
                              <w:t>specific magnetization</w:t>
                            </w:r>
                          </w:p>
                        </w:tc>
                        <w:tc>
                          <w:tcPr>
                            <w:tcW w:w="2610" w:type="dxa"/>
                            <w:tcBorders>
                              <w:top w:val="nil"/>
                              <w:left w:val="nil"/>
                              <w:bottom w:val="nil"/>
                              <w:right w:val="nil"/>
                            </w:tcBorders>
                          </w:tcPr>
                          <w:p w:rsidR="007B292D" w:rsidRDefault="007B292D">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j</w:t>
                            </w:r>
                          </w:p>
                        </w:tc>
                        <w:tc>
                          <w:tcPr>
                            <w:tcW w:w="1710" w:type="dxa"/>
                            <w:tcBorders>
                              <w:top w:val="nil"/>
                              <w:left w:val="nil"/>
                              <w:bottom w:val="nil"/>
                              <w:right w:val="nil"/>
                            </w:tcBorders>
                          </w:tcPr>
                          <w:p w:rsidR="007B292D" w:rsidRDefault="007B292D">
                            <w:pPr>
                              <w:rPr>
                                <w:sz w:val="16"/>
                                <w:szCs w:val="16"/>
                              </w:rPr>
                            </w:pPr>
                            <w:r>
                              <w:rPr>
                                <w:sz w:val="16"/>
                                <w:szCs w:val="16"/>
                              </w:rPr>
                              <w:t xml:space="preserve">magnetic dipole </w:t>
                            </w:r>
                          </w:p>
                          <w:p w:rsidR="007B292D" w:rsidRDefault="007B292D">
                            <w:pPr>
                              <w:rPr>
                                <w:sz w:val="16"/>
                                <w:szCs w:val="16"/>
                              </w:rPr>
                            </w:pPr>
                            <w:r>
                              <w:rPr>
                                <w:sz w:val="16"/>
                                <w:szCs w:val="16"/>
                              </w:rPr>
                              <w:t xml:space="preserve">  moment</w:t>
                            </w:r>
                          </w:p>
                        </w:tc>
                        <w:tc>
                          <w:tcPr>
                            <w:tcW w:w="2610" w:type="dxa"/>
                            <w:tcBorders>
                              <w:top w:val="nil"/>
                              <w:left w:val="nil"/>
                              <w:bottom w:val="nil"/>
                              <w:right w:val="nil"/>
                            </w:tcBorders>
                          </w:tcPr>
                          <w:p w:rsidR="007B292D" w:rsidRDefault="007B292D">
                            <w:pPr>
                              <w:rPr>
                                <w:sz w:val="16"/>
                                <w:szCs w:val="16"/>
                              </w:rPr>
                            </w:pPr>
                            <w:r>
                              <w:rPr>
                                <w:sz w:val="16"/>
                                <w:szCs w:val="16"/>
                              </w:rPr>
                              <w:t xml:space="preserve">1 erg/G = 1 emu </w:t>
                            </w:r>
                          </w:p>
                          <w:p w:rsidR="007B292D" w:rsidRDefault="007B292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J</w:t>
                            </w:r>
                          </w:p>
                        </w:tc>
                        <w:tc>
                          <w:tcPr>
                            <w:tcW w:w="1710" w:type="dxa"/>
                            <w:tcBorders>
                              <w:top w:val="nil"/>
                              <w:left w:val="nil"/>
                              <w:bottom w:val="nil"/>
                              <w:right w:val="nil"/>
                            </w:tcBorders>
                          </w:tcPr>
                          <w:p w:rsidR="007B292D" w:rsidRDefault="007B292D">
                            <w:pPr>
                              <w:rPr>
                                <w:sz w:val="16"/>
                                <w:szCs w:val="16"/>
                              </w:rPr>
                            </w:pPr>
                            <w:r>
                              <w:rPr>
                                <w:sz w:val="16"/>
                                <w:szCs w:val="16"/>
                              </w:rPr>
                              <w:t>magnetic polarization</w:t>
                            </w:r>
                          </w:p>
                        </w:tc>
                        <w:tc>
                          <w:tcPr>
                            <w:tcW w:w="2610" w:type="dxa"/>
                            <w:tcBorders>
                              <w:top w:val="nil"/>
                              <w:left w:val="nil"/>
                              <w:bottom w:val="nil"/>
                              <w:right w:val="nil"/>
                            </w:tcBorders>
                          </w:tcPr>
                          <w:p w:rsidR="007B292D" w:rsidRDefault="007B292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B292D" w:rsidRDefault="007B292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B292D" w:rsidRDefault="007B292D">
                            <w:pPr>
                              <w:rPr>
                                <w:sz w:val="16"/>
                                <w:szCs w:val="16"/>
                              </w:rPr>
                            </w:pPr>
                            <w:r>
                              <w:rPr>
                                <w:sz w:val="16"/>
                                <w:szCs w:val="16"/>
                              </w:rPr>
                              <w:t>susceptibility</w:t>
                            </w:r>
                          </w:p>
                        </w:tc>
                        <w:tc>
                          <w:tcPr>
                            <w:tcW w:w="2610" w:type="dxa"/>
                            <w:tcBorders>
                              <w:top w:val="nil"/>
                              <w:left w:val="nil"/>
                              <w:bottom w:val="nil"/>
                              <w:right w:val="nil"/>
                            </w:tcBorders>
                          </w:tcPr>
                          <w:p w:rsidR="007B292D" w:rsidRDefault="007B292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B292D" w:rsidRDefault="007B292D">
                            <w:pPr>
                              <w:rPr>
                                <w:sz w:val="16"/>
                                <w:szCs w:val="16"/>
                              </w:rPr>
                            </w:pPr>
                            <w:r>
                              <w:rPr>
                                <w:sz w:val="16"/>
                                <w:szCs w:val="16"/>
                              </w:rPr>
                              <w:t>mass susceptibility</w:t>
                            </w:r>
                          </w:p>
                        </w:tc>
                        <w:tc>
                          <w:tcPr>
                            <w:tcW w:w="2610" w:type="dxa"/>
                            <w:tcBorders>
                              <w:top w:val="nil"/>
                              <w:left w:val="nil"/>
                              <w:bottom w:val="nil"/>
                              <w:right w:val="nil"/>
                            </w:tcBorders>
                          </w:tcPr>
                          <w:p w:rsidR="007B292D" w:rsidRDefault="007B292D">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6D"/>
                            </w:r>
                          </w:p>
                        </w:tc>
                        <w:tc>
                          <w:tcPr>
                            <w:tcW w:w="1710" w:type="dxa"/>
                            <w:tcBorders>
                              <w:top w:val="nil"/>
                              <w:left w:val="nil"/>
                              <w:bottom w:val="nil"/>
                              <w:right w:val="nil"/>
                            </w:tcBorders>
                          </w:tcPr>
                          <w:p w:rsidR="007B292D" w:rsidRDefault="007B292D">
                            <w:pPr>
                              <w:rPr>
                                <w:sz w:val="16"/>
                                <w:szCs w:val="16"/>
                              </w:rPr>
                            </w:pPr>
                            <w:r>
                              <w:rPr>
                                <w:sz w:val="16"/>
                                <w:szCs w:val="16"/>
                              </w:rPr>
                              <w:t>permeability</w:t>
                            </w:r>
                          </w:p>
                        </w:tc>
                        <w:tc>
                          <w:tcPr>
                            <w:tcW w:w="2610" w:type="dxa"/>
                            <w:tcBorders>
                              <w:top w:val="nil"/>
                              <w:left w:val="nil"/>
                              <w:bottom w:val="nil"/>
                              <w:right w:val="nil"/>
                            </w:tcBorders>
                          </w:tcPr>
                          <w:p w:rsidR="007B292D" w:rsidRDefault="007B292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B292D" w:rsidRDefault="007B292D">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B292D" w:rsidRDefault="007B292D">
                            <w:pPr>
                              <w:rPr>
                                <w:sz w:val="16"/>
                                <w:szCs w:val="16"/>
                              </w:rPr>
                            </w:pPr>
                            <w:r>
                              <w:rPr>
                                <w:sz w:val="16"/>
                                <w:szCs w:val="16"/>
                              </w:rPr>
                              <w:t>relative permeability</w:t>
                            </w:r>
                          </w:p>
                        </w:tc>
                        <w:tc>
                          <w:tcPr>
                            <w:tcW w:w="2610" w:type="dxa"/>
                            <w:tcBorders>
                              <w:top w:val="nil"/>
                              <w:left w:val="nil"/>
                              <w:bottom w:val="nil"/>
                              <w:right w:val="nil"/>
                            </w:tcBorders>
                          </w:tcPr>
                          <w:p w:rsidR="007B292D" w:rsidRDefault="007B292D">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B292D">
                        <w:tblPrEx>
                          <w:tblCellMar>
                            <w:top w:w="0" w:type="dxa"/>
                            <w:bottom w:w="0" w:type="dxa"/>
                          </w:tblCellMar>
                        </w:tblPrEx>
                        <w:tc>
                          <w:tcPr>
                            <w:tcW w:w="720" w:type="dxa"/>
                            <w:tcBorders>
                              <w:top w:val="nil"/>
                              <w:left w:val="nil"/>
                              <w:bottom w:val="nil"/>
                              <w:right w:val="nil"/>
                            </w:tcBorders>
                          </w:tcPr>
                          <w:p w:rsidR="007B292D" w:rsidRDefault="007B292D">
                            <w:pPr>
                              <w:rPr>
                                <w:i/>
                                <w:iCs/>
                                <w:sz w:val="16"/>
                                <w:szCs w:val="16"/>
                              </w:rPr>
                            </w:pPr>
                            <w:r>
                              <w:rPr>
                                <w:i/>
                                <w:iCs/>
                                <w:sz w:val="16"/>
                                <w:szCs w:val="16"/>
                              </w:rPr>
                              <w:t>w, W</w:t>
                            </w:r>
                          </w:p>
                        </w:tc>
                        <w:tc>
                          <w:tcPr>
                            <w:tcW w:w="1710" w:type="dxa"/>
                            <w:tcBorders>
                              <w:top w:val="nil"/>
                              <w:left w:val="nil"/>
                              <w:bottom w:val="nil"/>
                              <w:right w:val="nil"/>
                            </w:tcBorders>
                          </w:tcPr>
                          <w:p w:rsidR="007B292D" w:rsidRDefault="007B292D">
                            <w:pPr>
                              <w:rPr>
                                <w:sz w:val="16"/>
                                <w:szCs w:val="16"/>
                              </w:rPr>
                            </w:pPr>
                            <w:r>
                              <w:rPr>
                                <w:sz w:val="16"/>
                                <w:szCs w:val="16"/>
                              </w:rPr>
                              <w:t>energy density</w:t>
                            </w:r>
                          </w:p>
                        </w:tc>
                        <w:tc>
                          <w:tcPr>
                            <w:tcW w:w="2610" w:type="dxa"/>
                            <w:tcBorders>
                              <w:top w:val="nil"/>
                              <w:left w:val="nil"/>
                              <w:bottom w:val="nil"/>
                              <w:right w:val="nil"/>
                            </w:tcBorders>
                          </w:tcPr>
                          <w:p w:rsidR="007B292D" w:rsidRDefault="007B292D">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B292D">
                        <w:tblPrEx>
                          <w:tblCellMar>
                            <w:top w:w="0" w:type="dxa"/>
                            <w:bottom w:w="0" w:type="dxa"/>
                          </w:tblCellMar>
                        </w:tblPrEx>
                        <w:trPr>
                          <w:trHeight w:val="279"/>
                        </w:trPr>
                        <w:tc>
                          <w:tcPr>
                            <w:tcW w:w="720" w:type="dxa"/>
                            <w:tcBorders>
                              <w:top w:val="nil"/>
                              <w:left w:val="nil"/>
                              <w:bottom w:val="double" w:sz="6" w:space="0" w:color="auto"/>
                              <w:right w:val="nil"/>
                            </w:tcBorders>
                          </w:tcPr>
                          <w:p w:rsidR="007B292D" w:rsidRDefault="007B292D">
                            <w:pPr>
                              <w:rPr>
                                <w:i/>
                                <w:iCs/>
                                <w:sz w:val="16"/>
                                <w:szCs w:val="16"/>
                              </w:rPr>
                            </w:pPr>
                            <w:r>
                              <w:rPr>
                                <w:i/>
                                <w:iCs/>
                                <w:sz w:val="16"/>
                                <w:szCs w:val="16"/>
                              </w:rPr>
                              <w:t>N, D</w:t>
                            </w:r>
                          </w:p>
                        </w:tc>
                        <w:tc>
                          <w:tcPr>
                            <w:tcW w:w="1710" w:type="dxa"/>
                            <w:tcBorders>
                              <w:top w:val="nil"/>
                              <w:left w:val="nil"/>
                              <w:bottom w:val="double" w:sz="6" w:space="0" w:color="auto"/>
                              <w:right w:val="nil"/>
                            </w:tcBorders>
                          </w:tcPr>
                          <w:p w:rsidR="007B292D" w:rsidRDefault="007B292D">
                            <w:pPr>
                              <w:rPr>
                                <w:sz w:val="16"/>
                                <w:szCs w:val="16"/>
                              </w:rPr>
                            </w:pPr>
                            <w:r>
                              <w:rPr>
                                <w:sz w:val="16"/>
                                <w:szCs w:val="16"/>
                              </w:rPr>
                              <w:t>demagnetizing factor</w:t>
                            </w:r>
                          </w:p>
                        </w:tc>
                        <w:tc>
                          <w:tcPr>
                            <w:tcW w:w="2610" w:type="dxa"/>
                            <w:tcBorders>
                              <w:top w:val="nil"/>
                              <w:left w:val="nil"/>
                              <w:bottom w:val="double" w:sz="6" w:space="0" w:color="auto"/>
                              <w:right w:val="nil"/>
                            </w:tcBorders>
                          </w:tcPr>
                          <w:p w:rsidR="007B292D" w:rsidRDefault="007B292D">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7B292D" w:rsidRDefault="007B292D">
                      <w:pPr>
                        <w:pStyle w:val="FootnoteText"/>
                      </w:pPr>
                      <w:r>
                        <w:t xml:space="preserve">No vertical lines in table. Statements that serve as captions for the entire table do not need footnote letters. </w:t>
                      </w:r>
                    </w:p>
                    <w:p w:rsidR="007B292D" w:rsidRDefault="007B292D">
                      <w:pPr>
                        <w:pStyle w:val="FootnoteText"/>
                      </w:pPr>
                      <w:proofErr w:type="spellStart"/>
                      <w:r>
                        <w:rPr>
                          <w:vertAlign w:val="superscript"/>
                        </w:rPr>
                        <w:t>a</w:t>
                      </w:r>
                      <w:r>
                        <w:t>Gaussian</w:t>
                      </w:r>
                      <w:proofErr w:type="spellEnd"/>
                      <w:r>
                        <w:t xml:space="preserve"> units are the same as </w:t>
                      </w:r>
                      <w:proofErr w:type="spellStart"/>
                      <w:r>
                        <w:t>cgs</w:t>
                      </w:r>
                      <w:proofErr w:type="spellEnd"/>
                      <w:r>
                        <w:t xml:space="preserve">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7B292D" w:rsidRDefault="007B292D">
                      <w:pPr>
                        <w:pStyle w:val="FootnoteText"/>
                      </w:pPr>
                    </w:p>
                    <w:p w:rsidR="007B292D" w:rsidRDefault="007B292D"/>
                  </w:txbxContent>
                </v:textbox>
                <w10:wrap type="square" anchorx="margin" anchory="margin"/>
              </v:shape>
            </w:pict>
          </mc:Fallback>
        </mc:AlternateContent>
      </w:r>
      <w:r w:rsidR="007B292D">
        <w:t>Copyright Form</w:t>
      </w:r>
    </w:p>
    <w:p w:rsidR="007B292D" w:rsidRDefault="007B292D">
      <w:pPr>
        <w:pStyle w:val="Text"/>
      </w:pPr>
      <w:r>
        <w:t xml:space="preserve">An IEEE copyright form should accompany your final submission. You can get a .pdf, .html, or .doc version at </w:t>
      </w:r>
      <w:hyperlink r:id="rId13" w:history="1">
        <w:r>
          <w:rPr>
            <w:rStyle w:val="Hyperlink"/>
          </w:rPr>
          <w:t>http://www.ieee.org/c</w:t>
        </w:r>
        <w:r>
          <w:rPr>
            <w:rStyle w:val="Hyperlink"/>
          </w:rPr>
          <w:t>o</w:t>
        </w:r>
        <w:r>
          <w:rPr>
            <w:rStyle w:val="Hyperlink"/>
          </w:rPr>
          <w:t>py</w:t>
        </w:r>
        <w:r>
          <w:rPr>
            <w:rStyle w:val="Hyperlink"/>
          </w:rPr>
          <w:t>r</w:t>
        </w:r>
        <w:r>
          <w:rPr>
            <w:rStyle w:val="Hyperlink"/>
          </w:rPr>
          <w:t>ight</w:t>
        </w:r>
      </w:hyperlink>
      <w:r>
        <w:t xml:space="preserve"> or from the first issues in each volume of the IEEE T</w:t>
      </w:r>
      <w:r>
        <w:rPr>
          <w:sz w:val="16"/>
          <w:szCs w:val="16"/>
        </w:rPr>
        <w:t>RANSACTIONS</w:t>
      </w:r>
      <w:r>
        <w:t xml:space="preserve"> and J</w:t>
      </w:r>
      <w:r>
        <w:rPr>
          <w:sz w:val="16"/>
          <w:szCs w:val="16"/>
        </w:rPr>
        <w:t>OURNALS</w:t>
      </w:r>
      <w:r>
        <w:rPr>
          <w:i/>
          <w:iCs/>
        </w:rPr>
        <w:t>.</w:t>
      </w:r>
      <w:r>
        <w:t xml:space="preserve"> Authors are responsible for obtaining any security clearances.</w:t>
      </w:r>
    </w:p>
    <w:p w:rsidR="007B292D" w:rsidRDefault="007B292D">
      <w:pPr>
        <w:pStyle w:val="Text"/>
      </w:pPr>
    </w:p>
    <w:p w:rsidR="007B292D" w:rsidRDefault="007B292D">
      <w:pPr>
        <w:pStyle w:val="Heading1"/>
      </w:pPr>
      <w:r>
        <w:t>M</w:t>
      </w:r>
      <w:r>
        <w:rPr>
          <w:sz w:val="16"/>
          <w:szCs w:val="16"/>
        </w:rPr>
        <w:t>ATH</w:t>
      </w:r>
    </w:p>
    <w:p w:rsidR="007B292D" w:rsidRDefault="007B292D">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7B292D" w:rsidRDefault="007B292D">
      <w:pPr>
        <w:pStyle w:val="Text"/>
      </w:pPr>
    </w:p>
    <w:p w:rsidR="007B292D" w:rsidRDefault="007B292D">
      <w:pPr>
        <w:pStyle w:val="Heading1"/>
      </w:pPr>
      <w:r>
        <w:t>Units</w:t>
      </w:r>
    </w:p>
    <w:p w:rsidR="007B292D" w:rsidRDefault="007B292D">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 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7B292D" w:rsidRDefault="007B292D">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7B292D" w:rsidRDefault="007B292D">
      <w:pPr>
        <w:pStyle w:val="Text"/>
      </w:pPr>
    </w:p>
    <w:p w:rsidR="007B292D" w:rsidRDefault="007B292D">
      <w:pPr>
        <w:pStyle w:val="Heading1"/>
      </w:pPr>
      <w:r>
        <w:t>Helpful Hints</w:t>
      </w:r>
    </w:p>
    <w:p w:rsidR="007B292D" w:rsidRDefault="007B292D">
      <w:pPr>
        <w:pStyle w:val="Heading2"/>
      </w:pPr>
      <w:r>
        <w:t>Figures and Tables</w:t>
      </w:r>
    </w:p>
    <w:p w:rsidR="007B292D" w:rsidRDefault="007B292D">
      <w:pPr>
        <w:pStyle w:val="Text"/>
      </w:pP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w:t>
      </w:r>
      <w:proofErr w:type="gramStart"/>
      <w:r>
        <w:t>actually exist</w:t>
      </w:r>
      <w:proofErr w:type="gramEnd"/>
      <w:r>
        <w:t xml:space="preserve">. </w:t>
      </w:r>
      <w:r>
        <w:rPr>
          <w:b/>
          <w:bCs/>
        </w:rPr>
        <w:t xml:space="preserve">Please do not include captions as part of the figures. </w:t>
      </w:r>
      <w:r>
        <w:rPr>
          <w:b/>
          <w:bCs/>
        </w:rPr>
        <w:lastRenderedPageBreak/>
        <w:t xml:space="preserve">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7B292D" w:rsidRDefault="007B292D">
      <w:pPr>
        <w:pStyle w:val="Text"/>
      </w:pPr>
      <w:r>
        <w:t xml:space="preserve">Color printing of figures is available, but is billed to the authors (approximately $1300, depending on the number of figures and number of pages containing color). Include a note with your final paper indicating that you request color printing. </w:t>
      </w:r>
      <w:r>
        <w:rPr>
          <w:b/>
          <w:bCs/>
        </w:rPr>
        <w:t>Do not use color unless it is necessary for the proper interpretation of your figures.</w:t>
      </w:r>
      <w:r>
        <w:t xml:space="preserve"> If you want reprints of your color article, the reprint order should be submitted promptly. There is an additional charge of $81 per 100 for color reprints.</w:t>
      </w:r>
    </w:p>
    <w:p w:rsidR="007B292D" w:rsidRDefault="007B292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6pt" o:ole="" fillcolor="window">
            <v:imagedata r:id="rId14" o:title=""/>
          </v:shape>
          <o:OLEObject Type="Embed" ProgID="Unknown" ShapeID="_x0000_i1025" DrawAspect="Content" ObjectID="_1644124999" r:id="rId15"/>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7B292D" w:rsidRDefault="007B292D">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w:t>
      </w:r>
      <w:proofErr w:type="gramStart"/>
      <w:r>
        <w:t>12 point</w:t>
      </w:r>
      <w:proofErr w:type="gramEnd"/>
      <w:r>
        <w:t xml:space="preserve"> type.</w:t>
      </w:r>
    </w:p>
    <w:p w:rsidR="007B292D" w:rsidRDefault="007B292D">
      <w:pPr>
        <w:pStyle w:val="Heading2"/>
      </w:pPr>
      <w:r>
        <w:t>References</w:t>
      </w:r>
    </w:p>
    <w:p w:rsidR="007B292D" w:rsidRDefault="007B292D">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w:t>
      </w:r>
      <w:proofErr w:type="gramStart"/>
      <w:r>
        <w:t>Unfortunately</w:t>
      </w:r>
      <w:proofErr w:type="gramEnd"/>
      <w:r>
        <w:t xml:space="preserve"> the IEEE document translator cannot handle automatic endnotes in </w:t>
      </w:r>
      <w:r>
        <w:rPr>
          <w:i/>
          <w:iCs/>
        </w:rPr>
        <w:t>Word</w:t>
      </w:r>
      <w:r>
        <w:t>; therefore, type the reference list at the end of the paper using the “References” style.</w:t>
      </w:r>
    </w:p>
    <w:p w:rsidR="007B292D" w:rsidRDefault="007B292D">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7B292D" w:rsidRDefault="007B292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7B292D" w:rsidRDefault="007B292D">
      <w:pPr>
        <w:pStyle w:val="Text"/>
        <w:ind w:firstLine="144"/>
      </w:pPr>
      <w:r>
        <w:t xml:space="preserve">Capitalize only the first word in a paper title, except for proper </w:t>
      </w:r>
      <w:r>
        <w:t>nouns and element symbols. For papers published in translation journals, please give the English citation first, followed by the original foreign-language citation [8].</w:t>
      </w:r>
    </w:p>
    <w:p w:rsidR="007B292D" w:rsidRDefault="007B292D">
      <w:pPr>
        <w:pStyle w:val="Heading2"/>
      </w:pPr>
      <w:r>
        <w:t>Abbreviations and Acronyms</w:t>
      </w:r>
    </w:p>
    <w:p w:rsidR="007B292D" w:rsidRDefault="007B292D">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7B292D" w:rsidRDefault="007B292D">
      <w:pPr>
        <w:pStyle w:val="Heading2"/>
      </w:pPr>
      <w:r>
        <w:t>Equations</w:t>
      </w:r>
    </w:p>
    <w:p w:rsidR="007B292D" w:rsidRDefault="007B292D">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7B292D" w:rsidRDefault="007B292D">
      <w:pPr>
        <w:pStyle w:val="Text"/>
      </w:pPr>
    </w:p>
    <w:p w:rsidR="007B292D" w:rsidRDefault="00F948B1" w:rsidP="00F948B1">
      <w:pPr>
        <w:pStyle w:val="Equation"/>
      </w:pPr>
      <m:oMathPara>
        <m:oMath>
          <m:nary>
            <m:naryPr>
              <m:ctrlPr>
                <w:rPr>
                  <w:rFonts w:ascii="Cambria Math" w:hAnsi="Cambria Math"/>
                  <w:i/>
                </w:rPr>
              </m:ctrlPr>
            </m:naryPr>
            <m:sub>
              <m:r>
                <w:rPr>
                  <w:rFonts w:ascii="Cambria Math"/>
                </w:rPr>
                <m:t> </m:t>
              </m:r>
              <m:r>
                <w:rPr>
                  <w:rFonts w:ascii="Cambria Math"/>
                </w:rPr>
                <m:t>0</m:t>
              </m:r>
              <m:ctrlPr>
                <w:rPr>
                  <w:rFonts w:ascii="Cambria Math"/>
                  <w:i/>
                </w:rPr>
              </m:ctrlPr>
            </m:sub>
            <m:sup>
              <m:r>
                <w:rPr>
                  <w:rFonts w:ascii="Cambria Math"/>
                </w:rPr>
                <m:t> </m:t>
              </m:r>
              <m:sSub>
                <m:sSubPr>
                  <m:ctrlPr>
                    <w:rPr>
                      <w:rFonts w:ascii="Cambria Math"/>
                      <w:i/>
                    </w:rPr>
                  </m:ctrlPr>
                </m:sSubPr>
                <m:e>
                  <m:r>
                    <w:rPr>
                      <w:rFonts w:ascii="Cambria Math"/>
                    </w:rPr>
                    <m:t>r</m:t>
                  </m:r>
                </m:e>
                <m:sub>
                  <m:r>
                    <w:rPr>
                      <w:rFonts w:ascii="Cambria Math"/>
                    </w:rPr>
                    <m:t>2</m:t>
                  </m:r>
                </m:sub>
              </m:sSub>
            </m:sup>
            <m:e>
              <m:r>
                <w:rPr>
                  <w:rFonts w:ascii="Cambria Math"/>
                </w:rPr>
                <m:t>  </m:t>
              </m:r>
              <m:r>
                <w:rPr>
                  <w:rFonts w:ascii="Cambria Math"/>
                </w:rPr>
                <m:t>F(r,ϕ)</m:t>
              </m:r>
              <m:ctrlPr>
                <w:rPr>
                  <w:rFonts w:ascii="Cambria Math"/>
                  <w:i/>
                </w:rPr>
              </m:ctrlPr>
            </m:e>
          </m:nary>
          <m:r>
            <w:rPr>
              <w:rFonts w:ascii="Cambria Math"/>
            </w:rPr>
            <m:t> </m:t>
          </m:r>
          <m:r>
            <w:rPr>
              <w:rFonts w:ascii="Cambria Math"/>
            </w:rPr>
            <m:t>dr</m:t>
          </m:r>
          <m:r>
            <w:rPr>
              <w:rFonts w:ascii="Cambria Math"/>
            </w:rPr>
            <m:t> </m:t>
          </m:r>
          <m:r>
            <w:rPr>
              <w:rFonts w:ascii="Cambria Math"/>
            </w:rPr>
            <m:t>dϕ=[σ</m:t>
          </m:r>
          <m:sSub>
            <m:sSubPr>
              <m:ctrlPr>
                <w:rPr>
                  <w:rFonts w:ascii="Cambria Math"/>
                  <w:i/>
                </w:rPr>
              </m:ctrlPr>
            </m:sSubPr>
            <m:e>
              <m:r>
                <w:rPr>
                  <w:rFonts w:ascii="Cambria Math"/>
                </w:rPr>
                <m:t>r</m:t>
              </m:r>
            </m:e>
            <m:sub>
              <m:r>
                <w:rPr>
                  <w:rFonts w:ascii="Cambria Math"/>
                </w:rPr>
                <m:t>2</m:t>
              </m:r>
            </m:sub>
          </m:sSub>
          <m:r>
            <w:rPr>
              <w:rFonts w:ascii="Cambria Math"/>
            </w:rPr>
            <m:t>/(2</m:t>
          </m:r>
          <m:sSub>
            <m:sSubPr>
              <m:ctrlPr>
                <w:rPr>
                  <w:rFonts w:ascii="Cambria Math"/>
                  <w:i/>
                </w:rPr>
              </m:ctrlPr>
            </m:sSubPr>
            <m:e>
              <m:r>
                <w:rPr>
                  <w:rFonts w:ascii="Cambria Math"/>
                </w:rPr>
                <m:t>μ</m:t>
              </m:r>
            </m:e>
            <m:sub>
              <m:r>
                <w:rPr>
                  <w:rFonts w:ascii="Cambria Math"/>
                </w:rPr>
                <m:t>0</m:t>
              </m:r>
            </m:sub>
          </m:sSub>
          <m:r>
            <w:rPr>
              <w:rFonts w:ascii="Cambria Math"/>
            </w:rPr>
            <m:t>)]</m:t>
          </m:r>
          <m:r>
            <w:rPr>
              <w:rFonts w:ascii="Cambria Math"/>
            </w:rPr>
            <m:t> </m:t>
          </m:r>
          <m:r>
            <w:rPr>
              <w:rFonts w:ascii="Cambria Math"/>
            </w:rPr>
            <w:br/>
          </m:r>
        </m:oMath>
      </m:oMathPara>
      <m:oMath>
        <m:r>
          <w:rPr>
            <w:rFonts w:ascii="Cambria Math"/>
          </w:rPr>
          <m:t>  </m:t>
        </m:r>
        <m:r>
          <w:rPr>
            <w:rFonts w:ascii="Cambria Math" w:hAnsi="Cambria Math" w:cs="Cambria Math"/>
          </w:rPr>
          <m:t>⋅</m:t>
        </m:r>
        <m:r>
          <m:t> </m:t>
        </m:r>
        <m:nary>
          <m:naryPr>
            <m:ctrlPr>
              <w:rPr>
                <w:rFonts w:ascii="Cambria Math" w:hAnsi="Cambria Math"/>
                <w:i/>
              </w:rPr>
            </m:ctrlPr>
          </m:naryPr>
          <m:sub>
            <m:r>
              <w:rPr>
                <w:rFonts w:ascii="Cambria Math"/>
              </w:rPr>
              <m:t> </m:t>
            </m:r>
            <m:r>
              <w:rPr>
                <w:rFonts w:ascii="Cambria Math"/>
              </w:rPr>
              <m:t>0</m:t>
            </m:r>
            <m:ctrlPr>
              <w:rPr>
                <w:rFonts w:ascii="Cambria Math"/>
                <w:i/>
              </w:rPr>
            </m:ctrlPr>
          </m:sub>
          <m:sup>
            <m:r>
              <w:rPr>
                <w:rFonts w:ascii="Cambria Math"/>
              </w:rPr>
              <m:t>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rPr>
                                          <m:t>∫</m:t>
                                        </m:r>
                                      </m:e>
                                      <m:sub>
                                        <m:r>
                                          <w:rPr>
                                            <w:rFonts w:ascii="Cambria Math"/>
                                          </w:rPr>
                                          <m:t>j</m:t>
                                        </m:r>
                                        <m:ctrlPr>
                                          <w:rPr>
                                            <w:rFonts w:ascii="Cambria Math"/>
                                            <w:i/>
                                          </w:rPr>
                                        </m:ctrlPr>
                                      </m:sub>
                                    </m:sSub>
                                    <m:ctrlPr>
                                      <w:rPr>
                                        <w:rFonts w:ascii="Cambria Math"/>
                                        <w:i/>
                                      </w:rPr>
                                    </m:ctrlPr>
                                  </m:e>
                                  <m:sub>
                                    <m:r>
                                      <w:rPr>
                                        <w:rFonts w:ascii="Cambria Math"/>
                                      </w:rPr>
                                      <m:t>i</m:t>
                                    </m:r>
                                    <m:ctrlPr>
                                      <w:rPr>
                                        <w:rFonts w:ascii="Cambria Math"/>
                                        <w:i/>
                                      </w:rPr>
                                    </m:ctrlPr>
                                  </m:sub>
                                </m:sSub>
                              </m:e>
                              <m:sup>
                                <m:r>
                                  <w:rPr>
                                    <w:rFonts w:ascii="Cambria Math"/>
                                  </w:rPr>
                                  <m:t>-</m:t>
                                </m:r>
                                <m:r>
                                  <w:rPr>
                                    <w:rFonts w:ascii="Cambria Math"/>
                                  </w:rPr>
                                  <m:t>1</m:t>
                                </m:r>
                                <m:ctrlPr>
                                  <w:rPr>
                                    <w:rFonts w:ascii="Cambria Math"/>
                                    <w:i/>
                                  </w:rPr>
                                </m:ctrlPr>
                              </m:sup>
                            </m:sSup>
                            <m:ctrlPr>
                              <w:rPr>
                                <w:rFonts w:ascii="Cambria Math"/>
                                <w:i/>
                              </w:rPr>
                            </m:ctrlPr>
                          </m:e>
                          <m:sub>
                            <m:r>
                              <w:rPr>
                                <w:rFonts w:ascii="Cambria Math"/>
                              </w:rPr>
                              <m:t>1</m:t>
                            </m:r>
                            <m:ctrlPr>
                              <w:rPr>
                                <w:rFonts w:ascii="Cambria Math"/>
                                <w:i/>
                              </w:rPr>
                            </m:ctrlPr>
                          </m:sub>
                        </m:sSub>
                        <m:ctrlPr>
                          <w:rPr>
                            <w:rFonts w:ascii="Cambria Math"/>
                            <w:i/>
                          </w:rPr>
                        </m:ctrlPr>
                      </m:e>
                      <m:sub>
                        <m:r>
                          <w:rPr>
                            <w:rFonts w:ascii="Cambria Math"/>
                          </w:rPr>
                          <m:t>2</m:t>
                        </m:r>
                        <m:ctrlPr>
                          <w:rPr>
                            <w:rFonts w:ascii="Cambria Math"/>
                            <w:i/>
                          </w:rPr>
                        </m:ctrlPr>
                      </m:sub>
                    </m:sSub>
                    <m:ctrlPr>
                      <w:rPr>
                        <w:rFonts w:ascii="Cambria Math"/>
                        <w:i/>
                      </w:rPr>
                    </m:ctrlPr>
                  </m:e>
                  <m:sub>
                    <m:r>
                      <w:rPr>
                        <w:rFonts w:ascii="Cambria Math"/>
                      </w:rPr>
                      <m:t>0</m:t>
                    </m:r>
                    <m:ctrlPr>
                      <w:rPr>
                        <w:rFonts w:ascii="Cambria Math"/>
                        <w:i/>
                      </w:rPr>
                    </m:ctrlPr>
                  </m:sub>
                </m:sSub>
                <m:ctrlPr>
                  <w:rPr>
                    <w:rFonts w:ascii="Cambria Math"/>
                    <w:i/>
                  </w:rPr>
                </m:ctrlPr>
              </m:e>
              <m:sub>
                <m:r>
                  <w:rPr>
                    <w:rFonts w:ascii="Cambria Math"/>
                  </w:rPr>
                  <m:t>i</m:t>
                </m:r>
                <m:ctrlPr>
                  <w:rPr>
                    <w:rFonts w:ascii="Cambria Math"/>
                    <w:i/>
                  </w:rPr>
                </m:ctrlPr>
              </m:sub>
            </m:sSub>
          </m:sup>
          <m:e>
            <m:r>
              <w:rPr>
                <w:rFonts w:ascii="Cambria Math"/>
              </w:rPr>
              <m:t>  </m:t>
            </m:r>
            <m:r>
              <w:rPr>
                <w:rFonts w:ascii="Cambria Math"/>
              </w:rPr>
              <m:t>exp</m:t>
            </m:r>
            <m:ctrlPr>
              <w:rPr>
                <w:rFonts w:ascii="Cambria Math"/>
                <w:i/>
              </w:rPr>
            </m:ctrlPr>
          </m:e>
        </m:nary>
      </m:oMath>
      <w:r w:rsidR="007B292D">
        <w:tab/>
        <w:t>(1)</w:t>
      </w:r>
    </w:p>
    <w:p w:rsidR="007B292D" w:rsidRDefault="007B292D"/>
    <w:p w:rsidR="007B292D" w:rsidRDefault="007B292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rsidR="007B292D" w:rsidRDefault="007B292D">
      <w:pPr>
        <w:pStyle w:val="Heading2"/>
      </w:pPr>
      <w:r>
        <w:t>Other Recommendations</w:t>
      </w:r>
    </w:p>
    <w:p w:rsidR="007B292D" w:rsidRDefault="007B292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7B292D" w:rsidRDefault="007B292D">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“webers/m</w:t>
      </w:r>
      <w:r>
        <w:rPr>
          <w:vertAlign w:val="superscript"/>
        </w:rPr>
        <w:t>2</w:t>
      </w:r>
      <w:r>
        <w:t>.” When expressing a range of values, write “7 to 9” or “7-9,” not “7~9.”</w:t>
      </w:r>
    </w:p>
    <w:p w:rsidR="007B292D" w:rsidRDefault="007B292D">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w:t>
      </w:r>
      <w:r>
        <w:lastRenderedPageBreak/>
        <w:t>contractions; for example, write “do not” instead of “don’t.” The serial comma is preferred: “A, B, and C” instead of “A, B and C.”</w:t>
      </w:r>
    </w:p>
    <w:p w:rsidR="007B292D" w:rsidRDefault="007B292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7B292D" w:rsidRDefault="007B292D">
      <w:pPr>
        <w:pStyle w:val="Text"/>
      </w:pPr>
    </w:p>
    <w:p w:rsidR="007B292D" w:rsidRDefault="007B292D">
      <w:pPr>
        <w:pStyle w:val="Heading1"/>
      </w:pPr>
      <w:r>
        <w:t>Some Common Mistakes</w:t>
      </w:r>
    </w:p>
    <w:p w:rsidR="007B292D" w:rsidRDefault="007B292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7B292D" w:rsidRDefault="007B292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7B292D" w:rsidRDefault="007B292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7B292D" w:rsidRDefault="007B292D">
      <w:pPr>
        <w:pStyle w:val="Text"/>
      </w:pPr>
      <w:r>
        <w:t xml:space="preserve">An excellent style manual and source of information for science writers is [9]. A general IEEE style guide, </w:t>
      </w:r>
      <w:r>
        <w:rPr>
          <w:i/>
          <w:iCs/>
        </w:rPr>
        <w:t>Information for Authors,</w:t>
      </w:r>
      <w:r>
        <w:t xml:space="preserve"> is available a</w:t>
      </w:r>
      <w:r>
        <w:t xml:space="preserve">t </w:t>
      </w:r>
      <w:hyperlink r:id="rId16" w:history="1">
        <w:r>
          <w:rPr>
            <w:rStyle w:val="Hyperlink"/>
          </w:rPr>
          <w:t>http://www.ieee.org/organizations/pubs/tran</w:t>
        </w:r>
        <w:r>
          <w:rPr>
            <w:rStyle w:val="Hyperlink"/>
          </w:rPr>
          <w:t>s</w:t>
        </w:r>
        <w:r>
          <w:rPr>
            <w:rStyle w:val="Hyperlink"/>
          </w:rPr>
          <w:t>actions/info</w:t>
        </w:r>
        <w:r>
          <w:rPr>
            <w:rStyle w:val="Hyperlink"/>
          </w:rPr>
          <w:t>r</w:t>
        </w:r>
        <w:r>
          <w:rPr>
            <w:rStyle w:val="Hyperlink"/>
          </w:rPr>
          <w:t>mation.htm</w:t>
        </w:r>
      </w:hyperlink>
    </w:p>
    <w:p w:rsidR="007B292D" w:rsidRDefault="007B292D">
      <w:pPr>
        <w:pStyle w:val="Text"/>
        <w:ind w:firstLine="0"/>
      </w:pPr>
    </w:p>
    <w:p w:rsidR="007B292D" w:rsidRDefault="007B292D">
      <w:pPr>
        <w:pStyle w:val="Heading1"/>
      </w:pPr>
      <w:r>
        <w:t>Editorial Policy</w:t>
      </w:r>
    </w:p>
    <w:p w:rsidR="007B292D" w:rsidRDefault="007B292D">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w:t>
      </w:r>
      <w:r>
        <w:t>courtesy authorship. It is the obligation of the authors to cite relevant prior work.</w:t>
      </w:r>
    </w:p>
    <w:p w:rsidR="007B292D" w:rsidRDefault="007B292D">
      <w:pPr>
        <w:pStyle w:val="Text"/>
      </w:pPr>
      <w:r>
        <w:t>The Transactions and Journals Department does not publish conference records or proceedings. The T</w:t>
      </w:r>
      <w:r>
        <w:rPr>
          <w:sz w:val="16"/>
          <w:szCs w:val="16"/>
        </w:rPr>
        <w:t>RANSACTIONS</w:t>
      </w:r>
      <w:r>
        <w:t xml:space="preserve"> </w:t>
      </w:r>
      <w:proofErr w:type="gramStart"/>
      <w:r>
        <w:t>does</w:t>
      </w:r>
      <w:proofErr w:type="gramEnd"/>
      <w:r>
        <w:t xml:space="preserve">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7B292D" w:rsidRDefault="007B292D">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7B292D" w:rsidRDefault="007B292D">
      <w:pPr>
        <w:pStyle w:val="Text"/>
      </w:pPr>
    </w:p>
    <w:p w:rsidR="007B292D" w:rsidRDefault="007B292D">
      <w:pPr>
        <w:pStyle w:val="Heading1"/>
      </w:pPr>
      <w:r>
        <w:t>Publication Principles</w:t>
      </w:r>
    </w:p>
    <w:p w:rsidR="007B292D" w:rsidRDefault="007B292D">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w:t>
      </w:r>
      <w:proofErr w:type="gramStart"/>
      <w:r>
        <w:t>publishes</w:t>
      </w:r>
      <w:proofErr w:type="gramEnd"/>
      <w:r>
        <w:t xml:space="preserve"> scholarly articles of archival value as well as tutorial expositions and critical reviews of classical subjects and topics of current interest. </w:t>
      </w:r>
    </w:p>
    <w:p w:rsidR="007B292D" w:rsidRDefault="007B292D">
      <w:pPr>
        <w:pStyle w:val="Text"/>
      </w:pPr>
      <w:r>
        <w:t>Authors should consider the following points:</w:t>
      </w:r>
    </w:p>
    <w:p w:rsidR="007B292D" w:rsidRDefault="007B292D">
      <w:pPr>
        <w:pStyle w:val="Text"/>
        <w:numPr>
          <w:ilvl w:val="0"/>
          <w:numId w:val="18"/>
        </w:numPr>
      </w:pPr>
      <w:r>
        <w:t xml:space="preserve">Technical papers submitted for publication must advance the state of knowledge and must cite relevant prior work. </w:t>
      </w:r>
    </w:p>
    <w:p w:rsidR="007B292D" w:rsidRDefault="007B292D">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7B292D" w:rsidRDefault="007B292D">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7B292D" w:rsidRDefault="007B292D">
      <w:pPr>
        <w:pStyle w:val="Text"/>
        <w:numPr>
          <w:ilvl w:val="0"/>
          <w:numId w:val="18"/>
        </w:numPr>
      </w:pPr>
      <w:r>
        <w:t xml:space="preserve">Because replication is required for scientific progress, papers submitted for publication must provide </w:t>
      </w:r>
      <w:proofErr w:type="gramStart"/>
      <w:r>
        <w:t>sufficient</w:t>
      </w:r>
      <w:proofErr w:type="gramEnd"/>
      <w:r>
        <w:t xml:space="preserve">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7B292D" w:rsidRDefault="007B292D">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rsidR="007B292D" w:rsidRDefault="007B292D">
      <w:pPr>
        <w:pStyle w:val="Text"/>
        <w:ind w:firstLine="0"/>
      </w:pPr>
    </w:p>
    <w:p w:rsidR="007B292D" w:rsidRDefault="007B292D">
      <w:pPr>
        <w:pStyle w:val="Heading1"/>
      </w:pPr>
      <w:r>
        <w:t>Conclusion</w:t>
      </w:r>
    </w:p>
    <w:p w:rsidR="007B292D" w:rsidRDefault="007B292D">
      <w:pPr>
        <w:pStyle w:val="Text"/>
      </w:pPr>
      <w:r>
        <w:t xml:space="preserve">A conclusion section is not required. Although a conclusion </w:t>
      </w:r>
      <w:r>
        <w:lastRenderedPageBreak/>
        <w:t xml:space="preserve">may review the main points of the paper, do not replicate the abstract as the conclusion. A conclusion might elaborate on the importance of the work or suggest applications and extensions. </w:t>
      </w:r>
    </w:p>
    <w:p w:rsidR="007B292D" w:rsidRDefault="007B292D">
      <w:pPr>
        <w:pStyle w:val="ReferenceHead"/>
      </w:pPr>
      <w:r>
        <w:t>References</w:t>
      </w:r>
    </w:p>
    <w:p w:rsidR="007B292D" w:rsidRDefault="007B292D">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State">
        <w:smartTag w:uri="urn:schemas-microsoft-com:office:smarttags" w:element="place">
          <w:r>
            <w:rPr>
              <w:sz w:val="16"/>
              <w:szCs w:val="16"/>
            </w:rPr>
            <w:t>New York</w:t>
          </w:r>
        </w:smartTag>
      </w:smartTag>
      <w:r>
        <w:rPr>
          <w:sz w:val="16"/>
          <w:szCs w:val="16"/>
        </w:rPr>
        <w:t>: McGraw-Hill, 1964, pp. 15–64.</w:t>
      </w:r>
    </w:p>
    <w:p w:rsidR="007B292D" w:rsidRDefault="007B292D">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City">
        <w:smartTag w:uri="urn:schemas-microsoft-com:office:smarttags" w:element="place">
          <w:r>
            <w:rPr>
              <w:sz w:val="16"/>
              <w:szCs w:val="16"/>
            </w:rPr>
            <w:t>Wadsworth</w:t>
          </w:r>
        </w:smartTag>
      </w:smartTag>
      <w:r>
        <w:rPr>
          <w:sz w:val="16"/>
          <w:szCs w:val="16"/>
        </w:rPr>
        <w:t>, 1993, pp. 123–135.</w:t>
      </w:r>
    </w:p>
    <w:p w:rsidR="007B292D" w:rsidRDefault="007B292D">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xml:space="preserve">: Springer-Verlag, 1985, </w:t>
      </w:r>
      <w:proofErr w:type="spellStart"/>
      <w:r>
        <w:rPr>
          <w:sz w:val="16"/>
          <w:szCs w:val="16"/>
        </w:rPr>
        <w:t>ch.</w:t>
      </w:r>
      <w:proofErr w:type="spellEnd"/>
      <w:r>
        <w:rPr>
          <w:sz w:val="16"/>
          <w:szCs w:val="16"/>
        </w:rPr>
        <w:t xml:space="preserve"> 4.</w:t>
      </w:r>
    </w:p>
    <w:p w:rsidR="007B292D" w:rsidRDefault="007B292D">
      <w:pPr>
        <w:pStyle w:val="References"/>
        <w:numPr>
          <w:ilvl w:val="0"/>
          <w:numId w:val="19"/>
        </w:numPr>
      </w:pPr>
      <w:r>
        <w:t>B. Smith, “An approach to graphs of linear forms (Unpublished work style),” unpublished.</w:t>
      </w:r>
    </w:p>
    <w:p w:rsidR="007B292D" w:rsidRDefault="007B292D">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7B292D" w:rsidRDefault="007B292D">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7B292D" w:rsidRDefault="007B292D">
      <w:pPr>
        <w:pStyle w:val="References"/>
        <w:numPr>
          <w:ilvl w:val="0"/>
          <w:numId w:val="19"/>
        </w:numPr>
      </w:pPr>
      <w:r>
        <w:t>C. J. Kaufman, Rocky Mountain Research Lab., Boulder, CO, private communication, May 1995.</w:t>
      </w:r>
    </w:p>
    <w:p w:rsidR="007B292D" w:rsidRDefault="007B292D">
      <w:pPr>
        <w:pStyle w:val="References"/>
        <w:numPr>
          <w:ilvl w:val="0"/>
          <w:numId w:val="19"/>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w:t>
      </w:r>
      <w:smartTag w:uri="urn:schemas-microsoft-com:office:smarttags" w:element="country-region">
        <w:smartTag w:uri="urn:schemas-microsoft-com:office:smarttags" w:element="place">
          <w:r>
            <w:t>Japan</w:t>
          </w:r>
        </w:smartTag>
      </w:smartTag>
      <w:r>
        <w:t>, 1982, p. 301].</w:t>
      </w:r>
    </w:p>
    <w:p w:rsidR="007B292D" w:rsidRDefault="007B292D">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7B292D" w:rsidRDefault="007B292D">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7B292D" w:rsidRDefault="007B292D">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7B292D" w:rsidRDefault="007B292D">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7B292D" w:rsidRDefault="007B292D">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1994, pp. 8–16.</w:t>
      </w:r>
    </w:p>
    <w:p w:rsidR="007B292D" w:rsidRDefault="007B292D">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7B292D" w:rsidRDefault="007B292D">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7B292D" w:rsidRDefault="007B292D">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7B292D" w:rsidRDefault="007B292D">
      <w:pPr>
        <w:pStyle w:val="References"/>
        <w:numPr>
          <w:ilvl w:val="0"/>
          <w:numId w:val="19"/>
        </w:numPr>
      </w:pPr>
      <w:r>
        <w:t xml:space="preserve">J. G. </w:t>
      </w:r>
      <w:proofErr w:type="spellStart"/>
      <w:r>
        <w:t>Kreifeldt</w:t>
      </w:r>
      <w:proofErr w:type="spellEnd"/>
      <w:r>
        <w:t xml:space="preserve">,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rsidR="007B292D" w:rsidRDefault="007B292D">
      <w:pPr>
        <w:pStyle w:val="References"/>
        <w:numPr>
          <w:ilvl w:val="0"/>
          <w:numId w:val="19"/>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rsidR="007B292D" w:rsidRDefault="007B292D">
      <w:pPr>
        <w:pStyle w:val="References"/>
        <w:numPr>
          <w:ilvl w:val="0"/>
          <w:numId w:val="19"/>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rsidR="007B292D" w:rsidRDefault="007B292D">
      <w:pPr>
        <w:pStyle w:val="References"/>
        <w:numPr>
          <w:ilvl w:val="0"/>
          <w:numId w:val="19"/>
        </w:numPr>
      </w:pPr>
      <w:r>
        <w:t xml:space="preserve">J. P. Wilkinson, “Nonlinear resonant circuit devices (Patent style),” U.S. Patent 3 624 12, July 16, 1990. </w:t>
      </w:r>
    </w:p>
    <w:p w:rsidR="007B292D" w:rsidRDefault="007B292D">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7B292D" w:rsidRDefault="007B292D">
      <w:pPr>
        <w:pStyle w:val="References"/>
        <w:numPr>
          <w:ilvl w:val="0"/>
          <w:numId w:val="19"/>
        </w:numPr>
      </w:pPr>
      <w:r>
        <w:rPr>
          <w:i/>
          <w:iCs/>
        </w:rPr>
        <w:t>Letter Symbols for Quantities</w:t>
      </w:r>
      <w:r>
        <w:t>, ANSI Standard Y10.5-1968.</w:t>
      </w:r>
    </w:p>
    <w:p w:rsidR="007B292D" w:rsidRDefault="007B292D">
      <w:pPr>
        <w:pStyle w:val="References"/>
        <w:numPr>
          <w:ilvl w:val="0"/>
          <w:numId w:val="19"/>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rsidR="007B292D" w:rsidRDefault="007B292D">
      <w:pPr>
        <w:pStyle w:val="References"/>
        <w:numPr>
          <w:ilvl w:val="0"/>
          <w:numId w:val="19"/>
        </w:numPr>
      </w:pPr>
      <w:r>
        <w:t xml:space="preserve">E. E. </w:t>
      </w:r>
      <w:proofErr w:type="spellStart"/>
      <w:r>
        <w:t>Reber</w:t>
      </w:r>
      <w:proofErr w:type="spellEnd"/>
      <w:r>
        <w:t xml:space="preserve">,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rsidR="007B292D" w:rsidRDefault="007B292D">
      <w:pPr>
        <w:pStyle w:val="References"/>
        <w:numPr>
          <w:ilvl w:val="0"/>
          <w:numId w:val="19"/>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rsidR="007B292D" w:rsidRDefault="007B292D">
      <w:pPr>
        <w:pStyle w:val="References"/>
        <w:numPr>
          <w:ilvl w:val="0"/>
          <w:numId w:val="19"/>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rsidR="007B292D" w:rsidRDefault="007B292D">
      <w:pPr>
        <w:pStyle w:val="References"/>
        <w:numPr>
          <w:ilvl w:val="0"/>
          <w:numId w:val="19"/>
        </w:numPr>
      </w:pPr>
      <w:r>
        <w:t xml:space="preserve">(Basic Book/Monograph Online Sources) J. K. Author. (year, month, day). </w:t>
      </w:r>
      <w:r>
        <w:rPr>
          <w:i/>
          <w:iCs/>
        </w:rPr>
        <w:t>Title</w:t>
      </w:r>
      <w:r>
        <w:t xml:space="preserve"> (edition) [Type of medium]. Volume(issue).</w:t>
      </w:r>
      <w:r>
        <w:tab/>
        <w:t xml:space="preserve"> Available: </w:t>
      </w:r>
      <w:hyperlink r:id="rId17" w:history="1">
        <w:r>
          <w:rPr>
            <w:rStyle w:val="Hyperlink"/>
          </w:rPr>
          <w:t>http://www.(URL</w:t>
        </w:r>
      </w:hyperlink>
      <w:r>
        <w:t>)</w:t>
      </w:r>
    </w:p>
    <w:p w:rsidR="007B292D" w:rsidRDefault="007B292D">
      <w:pPr>
        <w:pStyle w:val="References"/>
        <w:numPr>
          <w:ilvl w:val="0"/>
          <w:numId w:val="19"/>
        </w:numPr>
      </w:pPr>
      <w:r>
        <w:t xml:space="preserve">J. Jones. (1991, May 10). Networks (2nd ed.) [Online]. Available: </w:t>
      </w:r>
      <w:hyperlink r:id="rId18" w:history="1">
        <w:r>
          <w:rPr>
            <w:rStyle w:val="Hyperlink"/>
          </w:rPr>
          <w:t>http://www.atm.com</w:t>
        </w:r>
      </w:hyperlink>
    </w:p>
    <w:p w:rsidR="007B292D" w:rsidRDefault="007B292D">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19" w:history="1">
        <w:r>
          <w:rPr>
            <w:rStyle w:val="Hyperlink"/>
          </w:rPr>
          <w:t>http://www.(URL</w:t>
        </w:r>
      </w:hyperlink>
      <w:r>
        <w:t>)</w:t>
      </w:r>
    </w:p>
    <w:p w:rsidR="007B292D" w:rsidRDefault="007B292D">
      <w:pPr>
        <w:pStyle w:val="References"/>
        <w:numPr>
          <w:ilvl w:val="0"/>
          <w:numId w:val="19"/>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7B292D" w:rsidRDefault="007B292D">
      <w:pPr>
        <w:pStyle w:val="FigureCaption"/>
        <w:rPr>
          <w:b/>
          <w:bCs/>
        </w:rPr>
      </w:pPr>
    </w:p>
    <w:p w:rsidR="007B292D" w:rsidRDefault="007B292D">
      <w:pPr>
        <w:pStyle w:val="FigureCaption"/>
        <w:rPr>
          <w:b/>
          <w:bCs/>
        </w:rPr>
      </w:pPr>
    </w:p>
    <w:p w:rsidR="007B292D" w:rsidRDefault="007B292D">
      <w:pPr>
        <w:pStyle w:val="FigureCaption"/>
      </w:pPr>
    </w:p>
    <w:sectPr w:rsidR="007B292D">
      <w:headerReference w:type="default" r:id="rId2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065" w:rsidRDefault="00CC0065">
      <w:r>
        <w:separator/>
      </w:r>
    </w:p>
  </w:endnote>
  <w:endnote w:type="continuationSeparator" w:id="0">
    <w:p w:rsidR="00CC0065" w:rsidRDefault="00CC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065" w:rsidRDefault="00CC0065"/>
  </w:footnote>
  <w:footnote w:type="continuationSeparator" w:id="0">
    <w:p w:rsidR="00CC0065" w:rsidRDefault="00CC0065">
      <w:r>
        <w:continuationSeparator/>
      </w:r>
    </w:p>
  </w:footnote>
  <w:footnote w:id="1">
    <w:p w:rsidR="007B292D" w:rsidRDefault="007B292D">
      <w:pPr>
        <w:pStyle w:val="FootnoteText"/>
      </w:pPr>
      <w:r>
        <w:t>Manuscript received October 9, 2001. (Write the date on which you submitted your paper for review.) This work was supported in part by the U.S. Depart</w:t>
      </w:r>
      <w:r>
        <w:softHyphen/>
        <w:t>ment of Com</w:t>
      </w:r>
      <w:r>
        <w:softHyphen/>
        <w:t xml:space="preserve">merce under Grant BS123456 (sponsor and financial support acknowledgment goes here). </w:t>
      </w:r>
    </w:p>
  </w:footnote>
  <w:footnote w:id="2">
    <w:p w:rsidR="007B292D" w:rsidRDefault="007B292D">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92D" w:rsidRDefault="007B292D">
    <w:pPr>
      <w:framePr w:wrap="auto" w:vAnchor="text" w:hAnchor="margin" w:xAlign="right" w:y="1"/>
    </w:pPr>
    <w:r>
      <w:fldChar w:fldCharType="begin"/>
    </w:r>
    <w:r>
      <w:instrText xml:space="preserve">PAGE  </w:instrText>
    </w:r>
    <w:r>
      <w:fldChar w:fldCharType="separate"/>
    </w:r>
    <w:r w:rsidR="0034419E">
      <w:rPr>
        <w:noProof/>
      </w:rPr>
      <w:t>1</w:t>
    </w:r>
    <w:r>
      <w:fldChar w:fldCharType="end"/>
    </w:r>
  </w:p>
  <w:p w:rsidR="007B292D" w:rsidRDefault="007B2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A0916"/>
    <w:rsid w:val="002231D0"/>
    <w:rsid w:val="002D380D"/>
    <w:rsid w:val="003418DF"/>
    <w:rsid w:val="0034419E"/>
    <w:rsid w:val="0043743E"/>
    <w:rsid w:val="005C14D1"/>
    <w:rsid w:val="005C236D"/>
    <w:rsid w:val="00692C1F"/>
    <w:rsid w:val="007B292D"/>
    <w:rsid w:val="009227AB"/>
    <w:rsid w:val="00B603BA"/>
    <w:rsid w:val="00C858C9"/>
    <w:rsid w:val="00CC0065"/>
    <w:rsid w:val="00F5433D"/>
    <w:rsid w:val="00F9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A3F64C5"/>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transactions/information.htm" TargetMode="External"/><Relationship Id="rId13" Type="http://schemas.openxmlformats.org/officeDocument/2006/relationships/hyperlink" Target="http://www.ieee.org/copyright" TargetMode="External"/><Relationship Id="rId18" Type="http://schemas.openxmlformats.org/officeDocument/2006/relationships/hyperlink" Target="http://www.atm.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pport.microsoft.com/support/" TargetMode="External"/><Relationship Id="rId17" Type="http://schemas.openxmlformats.org/officeDocument/2006/relationships/hyperlink" Target="http://www.(URL" TargetMode="External"/><Relationship Id="rId2" Type="http://schemas.openxmlformats.org/officeDocument/2006/relationships/numbering" Target="numbering.xml"/><Relationship Id="rId16" Type="http://schemas.openxmlformats.org/officeDocument/2006/relationships/hyperlink" Target="http://www.ieee.org/organizations/pubs/transactions/information.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www.adobe.com/support/downloads/" TargetMode="External"/><Relationship Id="rId19" Type="http://schemas.openxmlformats.org/officeDocument/2006/relationships/hyperlink" Target="http://www.(URL" TargetMode="External"/><Relationship Id="rId4" Type="http://schemas.openxmlformats.org/officeDocument/2006/relationships/settings" Target="settings.xml"/><Relationship Id="rId9" Type="http://schemas.openxmlformats.org/officeDocument/2006/relationships/hyperlink" Target="http://www.adobe.com/support/downloads/pdrvwin.htm" TargetMode="External"/><Relationship Id="rId14" Type="http://schemas.openxmlformats.org/officeDocument/2006/relationships/image" Target="media/image2.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45CA6-42A2-41A4-A74F-A705FA822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5314</Words>
  <Characters>30292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35535</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Benjamin Jones</cp:lastModifiedBy>
  <cp:revision>2</cp:revision>
  <cp:lastPrinted>2004-03-25T16:09:00Z</cp:lastPrinted>
  <dcterms:created xsi:type="dcterms:W3CDTF">2020-02-25T14:37:00Z</dcterms:created>
  <dcterms:modified xsi:type="dcterms:W3CDTF">2020-02-25T14:37:00Z</dcterms:modified>
</cp:coreProperties>
</file>