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80" w:after="320"/>
        <w:jc w:val="right"/>
        <w:bidi/>
      </w:pPr>
      <w:r>
        <w:rPr>
          <w:rFonts w:ascii="Aptos" w:hAnsi="Aptos" w:cs="Vazirmatn" w:eastAsia="Vazirmatn"/>
          <w:b/>
          <w:color w:val="000000"/>
          <w:sz w:val="48"/>
        </w:rPr>
        <w:t>مشخصات نیازمندی‌های نرم‌افزار Nexora</w:t>
      </w:r>
    </w:p>
    <w:p>
      <w:pPr>
        <w:spacing w:after="680"/>
        <w:jc w:val="right"/>
        <w:bidi/>
      </w:pPr>
      <w:r>
        <w:rPr>
          <w:rFonts w:ascii="Aptos" w:hAnsi="Aptos" w:cs="Vazirmatn" w:eastAsia="Vazirmatn"/>
          <w:b w:val="0"/>
          <w:color w:val="46556A"/>
          <w:sz w:val="26"/>
        </w:rPr>
        <w:t>سامانهٔ مدیریت دانش و پاسخ‌گویی مبتنی بر بازیابی و تولید</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مورد</w:t>
            </w:r>
          </w:p>
        </w:tc>
        <w:tc>
          <w:tcPr>
            <w:tcW w:type="dxa" w:w="6520"/>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مقدار</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شناسه سند</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SRS-NEXORA-001</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نسخه</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۱٫۰</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تاریخ</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2026-09-11</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وضعیت</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پیش‌نویس مبتنی بر نسخهٔ فعلی سامانه</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مخاطب</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مالک محصول، تیم توسعه، آزمون و عملیات</w:t>
            </w:r>
          </w:p>
        </w:tc>
      </w:tr>
    </w:tbl>
    <w:p>
      <w:pPr>
        <w:spacing w:after="40"/>
      </w:pPr>
    </w:p>
    <w:p>
      <w:pPr>
        <w:spacing w:after="0" w:line="372" w:lineRule="auto"/>
        <w:jc w:val="right"/>
        <w:bidi/>
      </w:pPr>
      <w:r>
        <w:rPr>
          <w:rFonts w:ascii="Aptos" w:hAnsi="Aptos" w:cs="Vazirmatn" w:eastAsia="Vazirmatn"/>
          <w:b w:val="0"/>
          <w:color w:val="202938"/>
          <w:sz w:val="22"/>
        </w:rPr>
        <w:t>این سند رفتار مورد انتظار نسخهٔ فعلی Nexora را تعریف می‌کند. دامنهٔ آن شامل سرویس وب، رابط کاربری، API، پردازش اسناد، بازیابی دانش، پاسخ‌گویی، نقش‌ها و نیازمندی‌های کیفی است. جزئیات پیاده‌سازی مانند نام کلاس‌ها یا ساختار داخلی پایگاه داده، در این سند الزام محصول تلقی نمی‌شوند مگر آن‌که برای یک نیاز قابل آزمون لازم باشند.</w:t>
      </w:r>
    </w:p>
    <w:p>
      <w:r>
        <w:br w:type="page"/>
      </w:r>
    </w:p>
    <w:p>
      <w:pPr>
        <w:pStyle w:val="Heading1"/>
        <w:spacing w:before="280" w:after="120"/>
        <w:jc w:val="right"/>
        <w:bidi/>
      </w:pPr>
      <w:r>
        <w:rPr>
          <w:rFonts w:ascii="Aptos" w:hAnsi="Aptos" w:cs="Vazirmatn" w:eastAsia="Vazirmatn"/>
          <w:b/>
          <w:color w:val="183153"/>
          <w:sz w:val="30"/>
        </w:rPr>
        <w:t>۱. هدف و دامنه</w:t>
      </w:r>
    </w:p>
    <w:p>
      <w:pPr>
        <w:spacing w:after="100" w:line="372" w:lineRule="auto"/>
        <w:jc w:val="right"/>
        <w:bidi/>
      </w:pPr>
      <w:r>
        <w:rPr>
          <w:rFonts w:ascii="Aptos" w:hAnsi="Aptos" w:cs="Vazirmatn" w:eastAsia="Vazirmatn"/>
          <w:b w:val="0"/>
          <w:color w:val="202938"/>
          <w:sz w:val="22"/>
        </w:rPr>
        <w:t>Nexora برای تبدیل اسناد و منابع سازمانی به یک پایگاه دانش قابل پرسش طراحی شده است. کاربر مجاز می‌تواند در محدودهٔ مجموعه‌های دانشی در دسترس خود سؤال بپرسد، پاسخ را همراه با شواهد بررسی کند و گفت‌وگو را بعداً ادامه دهد. مدیر سازمان، مجموعه‌ها، اسناد، اتصال‌ها، کاربران و دستیارها را مدیریت می‌کند.</w:t>
      </w:r>
    </w:p>
    <w:p>
      <w:pPr>
        <w:spacing w:after="100" w:line="372" w:lineRule="auto"/>
        <w:jc w:val="right"/>
        <w:bidi/>
      </w:pPr>
      <w:r>
        <w:rPr>
          <w:rFonts w:ascii="Aptos" w:hAnsi="Aptos" w:cs="Vazirmatn" w:eastAsia="Vazirmatn"/>
          <w:b w:val="0"/>
          <w:color w:val="202938"/>
          <w:sz w:val="22"/>
        </w:rPr>
        <w:t>سامانه باید PDF و فایل متنی را دریافت کند، محتوای آن‌ها را استخراج و ایندکس کند، بردارهای بازیابی را در مخزن برداری نگه دارد و پاسخ را از مسیر RAG برگرداند. OCR ابری یک مسیر تکمیلی برای اسناد اسکن‌شده است؛ اگر ارائه‌دهندهٔ OCR پیکربندی نشده یا پاسخ‌گو نباشد، خطا باید روشن باشد و پردازش بی‌صدا موفق اعلام نشود.</w:t>
      </w:r>
    </w:p>
    <w:p>
      <w:pPr>
        <w:pStyle w:val="Heading1"/>
        <w:spacing w:before="280" w:after="120"/>
        <w:jc w:val="right"/>
        <w:bidi/>
      </w:pPr>
      <w:r>
        <w:rPr>
          <w:rFonts w:ascii="Aptos" w:hAnsi="Aptos" w:cs="Vazirmatn" w:eastAsia="Vazirmatn"/>
          <w:b/>
          <w:color w:val="183153"/>
          <w:sz w:val="30"/>
        </w:rPr>
        <w:t>۲. اصطلاحات</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اصطلاح</w:t>
            </w:r>
          </w:p>
        </w:tc>
        <w:tc>
          <w:tcPr>
            <w:tcW w:type="dxa" w:w="6520"/>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تعریف</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سازمان</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مرز منطقی داده و دسترسی که کاربران، اسناد و گفتگوها در آن نگهداری می‌شوند.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مجموعهٔ دانش</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گروهی از اسناد و منابع که محدودهٔ جست‌وجو و پاسخ RAG را مشخص می‌کند.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سند</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فایل بارگذاری‌شده یا محتوای واردشده از یک Connector که مراحل پردازش و ایندکس را طی می‌کند.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قطعه</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بخشی از متن سند که برای بازیابی و ارجاع به پاسخ ذخیره می‌شود.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پاسخ مستند</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پاسخی که برای آن منبع مرتبط از مجموعهٔ دانش نمایش داده می‌شود.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Connector</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اتصالی برای همگام‌سازی منبع عمومی وب، GitHub یا Webhook با یک مجموعهٔ دانش.</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Assistant</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پیکربندی پاسخ‌گو با مجموعه‌های دانشی اختصاصی و تنظیمات قابل مدیریت.</w:t>
            </w:r>
          </w:p>
        </w:tc>
      </w:tr>
    </w:tbl>
    <w:p>
      <w:pPr>
        <w:spacing w:after="40"/>
      </w:pPr>
    </w:p>
    <w:p>
      <w:pPr>
        <w:pStyle w:val="Heading1"/>
        <w:spacing w:before="280" w:after="120"/>
        <w:jc w:val="right"/>
        <w:bidi/>
      </w:pPr>
      <w:r>
        <w:rPr>
          <w:rFonts w:ascii="Aptos" w:hAnsi="Aptos" w:cs="Vazirmatn" w:eastAsia="Vazirmatn"/>
          <w:b/>
          <w:color w:val="183153"/>
          <w:sz w:val="30"/>
        </w:rPr>
        <w:t>۳. ذی‌نفعان و نقش‌ها</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نقش</w:t>
            </w:r>
          </w:p>
        </w:tc>
        <w:tc>
          <w:tcPr>
            <w:tcW w:type="dxa" w:w="6520"/>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مسئولیت و سطح دسترسی</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کاربر عادی</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گفت‌وگو، مشاهدهٔ گفتگوهای خود، استفاده از مجموعه‌ها و Assistantهای مجاز و ثبت بازخورد.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مدیر سازمان</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همهٔ قابلیت‌های کاربر عادی به‌علاوهٔ مدیریت اعضا، مجموعه‌های دانش، اسناد، Connectorها، Assistantها و تنظیمات مرتبط.</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Worker پردازش اسناد</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برداشت کارهای پردازش از صف، استخراج محتوا، OCR در صورت نیاز، قطعه‌بندی و ایندکس.</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Scheduler Connector</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اجرای همگام‌سازی‌های زمان‌بندی‌شده با قفل Lease برای جلوگیری از اجرای هم‌زمان.</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سامانهٔ بیرونی</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ارائه‌دهندهٔ مدل، مخزن برداری، سرویس ذخیره‌سازی و سرویس OCR که از طریق پیکربندی سرویس در دسترس قرار می‌گیرد.</w:t>
            </w:r>
          </w:p>
        </w:tc>
      </w:tr>
    </w:tbl>
    <w:p>
      <w:pPr>
        <w:spacing w:after="40"/>
      </w:pPr>
    </w:p>
    <w:p>
      <w:r>
        <w:br w:type="page"/>
      </w:r>
    </w:p>
    <w:p>
      <w:pPr>
        <w:pStyle w:val="Heading1"/>
        <w:spacing w:before="280" w:after="120"/>
        <w:jc w:val="right"/>
        <w:bidi/>
      </w:pPr>
      <w:r>
        <w:rPr>
          <w:rFonts w:ascii="Aptos" w:hAnsi="Aptos" w:cs="Vazirmatn" w:eastAsia="Vazirmatn"/>
          <w:b/>
          <w:color w:val="183153"/>
          <w:sz w:val="30"/>
        </w:rPr>
        <w:t>۴. نیازمندی‌های کارکردی</w:t>
      </w:r>
    </w:p>
    <w:p>
      <w:pPr>
        <w:pStyle w:val="Heading2"/>
        <w:spacing w:before="180" w:after="120"/>
        <w:jc w:val="right"/>
        <w:bidi/>
      </w:pPr>
      <w:r>
        <w:rPr>
          <w:rFonts w:ascii="Aptos" w:hAnsi="Aptos" w:cs="Vazirmatn" w:eastAsia="Vazirmatn"/>
          <w:b/>
          <w:color w:val="183153"/>
          <w:sz w:val="25"/>
        </w:rPr>
        <w:t>۴.۱. احراز هویت و نشست</w:t>
      </w:r>
    </w:p>
    <w:p>
      <w:pPr>
        <w:pStyle w:val="ListBullet"/>
        <w:spacing w:after="40" w:line="324" w:lineRule="auto"/>
        <w:ind w:left="113" w:right="113"/>
        <w:jc w:val="right"/>
        <w:bidi/>
      </w:pPr>
      <w:r>
        <w:rPr>
          <w:rFonts w:ascii="Aptos" w:hAnsi="Aptos" w:cs="Vazirmatn" w:eastAsia="Vazirmatn"/>
          <w:b w:val="0"/>
          <w:color w:val="202938"/>
          <w:sz w:val="21"/>
        </w:rPr>
        <w:t>FR-AUTH-01: سامانه باید ورود با نام کاربری و گذرواژه را از طریق API فراهم کند و فقط پس از اعتبارسنجی موفق، نشست معتبر ایجاد شود.</w:t>
      </w:r>
    </w:p>
    <w:p>
      <w:pPr>
        <w:pStyle w:val="ListBullet"/>
        <w:spacing w:after="40" w:line="324" w:lineRule="auto"/>
        <w:ind w:left="113" w:right="113"/>
        <w:jc w:val="right"/>
        <w:bidi/>
      </w:pPr>
      <w:r>
        <w:rPr>
          <w:rFonts w:ascii="Aptos" w:hAnsi="Aptos" w:cs="Vazirmatn" w:eastAsia="Vazirmatn"/>
          <w:b w:val="0"/>
          <w:color w:val="202938"/>
          <w:sz w:val="21"/>
        </w:rPr>
        <w:t>FR-AUTH-02: نشست باید با کوکی امن و HttpOnly نگهداری شود. خروج از حساب باید کوکی نشست را با همان مشخصات مسیر معتبر منقضی کند.</w:t>
      </w:r>
    </w:p>
    <w:p>
      <w:pPr>
        <w:pStyle w:val="ListBullet"/>
        <w:spacing w:after="40" w:line="324" w:lineRule="auto"/>
        <w:ind w:left="113" w:right="113"/>
        <w:jc w:val="right"/>
        <w:bidi/>
      </w:pPr>
      <w:r>
        <w:rPr>
          <w:rFonts w:ascii="Aptos" w:hAnsi="Aptos" w:cs="Vazirmatn" w:eastAsia="Vazirmatn"/>
          <w:b w:val="0"/>
          <w:color w:val="202938"/>
          <w:sz w:val="21"/>
        </w:rPr>
        <w:t>FR-AUTH-03: توکن دسترسی باید تاریخ انقضا داشته باشد. تولید توکن بدون تاریخ انقضا برای مسیرهای عمومی مجاز نیست.</w:t>
      </w:r>
    </w:p>
    <w:p>
      <w:pPr>
        <w:pStyle w:val="ListBullet"/>
        <w:spacing w:after="40" w:line="324" w:lineRule="auto"/>
        <w:ind w:left="113" w:right="113"/>
        <w:jc w:val="right"/>
        <w:bidi/>
      </w:pPr>
      <w:r>
        <w:rPr>
          <w:rFonts w:ascii="Aptos" w:hAnsi="Aptos" w:cs="Vazirmatn" w:eastAsia="Vazirmatn"/>
          <w:b w:val="0"/>
          <w:color w:val="202938"/>
          <w:sz w:val="21"/>
        </w:rPr>
        <w:t>FR-AUTH-04: سامانه باید نقش کاربر را در پاسخ ورود و درخواست‌های محافظت‌شده اعمال کند؛ رابط کاربری نیز گزینه‌های مدیریتی را برای کاربر فاقد مجوز نمایش ندهد.</w:t>
      </w:r>
    </w:p>
    <w:p>
      <w:pPr>
        <w:pStyle w:val="Heading2"/>
        <w:spacing w:before="180" w:after="120"/>
        <w:jc w:val="right"/>
        <w:bidi/>
      </w:pPr>
      <w:r>
        <w:rPr>
          <w:rFonts w:ascii="Aptos" w:hAnsi="Aptos" w:cs="Vazirmatn" w:eastAsia="Vazirmatn"/>
          <w:b/>
          <w:color w:val="183153"/>
          <w:sz w:val="25"/>
        </w:rPr>
        <w:t>۴.۲. مدیریت مجموعه‌های دانش و اسناد</w:t>
      </w:r>
    </w:p>
    <w:p>
      <w:pPr>
        <w:pStyle w:val="ListBullet"/>
        <w:spacing w:after="40" w:line="324" w:lineRule="auto"/>
        <w:ind w:left="113" w:right="113"/>
        <w:jc w:val="right"/>
        <w:bidi/>
      </w:pPr>
      <w:r>
        <w:rPr>
          <w:rFonts w:ascii="Aptos" w:hAnsi="Aptos" w:cs="Vazirmatn" w:eastAsia="Vazirmatn"/>
          <w:b w:val="0"/>
          <w:color w:val="202938"/>
          <w:sz w:val="21"/>
        </w:rPr>
        <w:t>FR-KB-01: مدیر باید بتواند مجموعهٔ دانش ایجاد، ویرایش و حذف کند. حذف مجموعه باید پس از تأیید کاربر انجام شود.</w:t>
      </w:r>
    </w:p>
    <w:p>
      <w:pPr>
        <w:pStyle w:val="ListBullet"/>
        <w:spacing w:after="40" w:line="324" w:lineRule="auto"/>
        <w:ind w:left="113" w:right="113"/>
        <w:jc w:val="right"/>
        <w:bidi/>
      </w:pPr>
      <w:r>
        <w:rPr>
          <w:rFonts w:ascii="Aptos" w:hAnsi="Aptos" w:cs="Vazirmatn" w:eastAsia="Vazirmatn"/>
          <w:b w:val="0"/>
          <w:color w:val="202938"/>
          <w:sz w:val="21"/>
        </w:rPr>
        <w:t>FR-KB-02: سامانه باید وضعیت دسترسی مجموعه را برای مشاهده، ویرایش یا مدیریت اعمال کند.</w:t>
      </w:r>
    </w:p>
    <w:p>
      <w:pPr>
        <w:pStyle w:val="ListBullet"/>
        <w:spacing w:after="40" w:line="324" w:lineRule="auto"/>
        <w:ind w:left="113" w:right="113"/>
        <w:jc w:val="right"/>
        <w:bidi/>
      </w:pPr>
      <w:r>
        <w:rPr>
          <w:rFonts w:ascii="Aptos" w:hAnsi="Aptos" w:cs="Vazirmatn" w:eastAsia="Vazirmatn"/>
          <w:b w:val="0"/>
          <w:color w:val="202938"/>
          <w:sz w:val="21"/>
        </w:rPr>
        <w:t>FR-KB-03: مدیر یا کاربر دارای مجوز ویرایش باید بتواند فایل پشتیبانی‌شده را به مجموعهٔ انتخاب‌شده بارگذاری کند.</w:t>
      </w:r>
    </w:p>
    <w:p>
      <w:pPr>
        <w:pStyle w:val="ListBullet"/>
        <w:spacing w:after="40" w:line="324" w:lineRule="auto"/>
        <w:ind w:left="113" w:right="113"/>
        <w:jc w:val="right"/>
        <w:bidi/>
      </w:pPr>
      <w:r>
        <w:rPr>
          <w:rFonts w:ascii="Aptos" w:hAnsi="Aptos" w:cs="Vazirmatn" w:eastAsia="Vazirmatn"/>
          <w:b w:val="0"/>
          <w:color w:val="202938"/>
          <w:sz w:val="21"/>
        </w:rPr>
        <w:t>FR-KB-04: صف بارگذاری باید نام فایل، وضعیت انتقال و نتیجهٔ آغاز پردازش را نشان دهد. خطای بارگذاری باید پیام قابل اقدام داشته باشد.</w:t>
      </w:r>
    </w:p>
    <w:p>
      <w:pPr>
        <w:pStyle w:val="ListBullet"/>
        <w:spacing w:after="40" w:line="324" w:lineRule="auto"/>
        <w:ind w:left="113" w:right="113"/>
        <w:jc w:val="right"/>
        <w:bidi/>
      </w:pPr>
      <w:r>
        <w:rPr>
          <w:rFonts w:ascii="Aptos" w:hAnsi="Aptos" w:cs="Vazirmatn" w:eastAsia="Vazirmatn"/>
          <w:b w:val="0"/>
          <w:color w:val="202938"/>
          <w:sz w:val="21"/>
        </w:rPr>
        <w:t>FR-KB-05: هر سند باید وضعیت، مرحلهٔ پردازش، درصد پیشرفت و خطای پردازش احتمالی داشته باشد. سند موفق پس از ایندکس، قابل استفاده در پاسخ است.</w:t>
      </w:r>
    </w:p>
    <w:p>
      <w:pPr>
        <w:pStyle w:val="ListBullet"/>
        <w:spacing w:after="40" w:line="324" w:lineRule="auto"/>
        <w:ind w:left="113" w:right="113"/>
        <w:jc w:val="right"/>
        <w:bidi/>
      </w:pPr>
      <w:r>
        <w:rPr>
          <w:rFonts w:ascii="Aptos" w:hAnsi="Aptos" w:cs="Vazirmatn" w:eastAsia="Vazirmatn"/>
          <w:b w:val="0"/>
          <w:color w:val="202938"/>
          <w:sz w:val="21"/>
        </w:rPr>
        <w:t>FR-KB-06: مدیر باید بتواند سند ناموفق را دوباره برای پردازش صف‌بندی کند یا آن را از مجموعه خارج کند.</w:t>
      </w:r>
    </w:p>
    <w:p>
      <w:pPr>
        <w:pStyle w:val="ListBullet"/>
        <w:spacing w:after="40" w:line="324" w:lineRule="auto"/>
        <w:ind w:left="113" w:right="113"/>
        <w:jc w:val="right"/>
        <w:bidi/>
      </w:pPr>
      <w:r>
        <w:rPr>
          <w:rFonts w:ascii="Aptos" w:hAnsi="Aptos" w:cs="Vazirmatn" w:eastAsia="Vazirmatn"/>
          <w:b w:val="0"/>
          <w:color w:val="202938"/>
          <w:sz w:val="21"/>
        </w:rPr>
        <w:t>FR-KB-07: فهرست اسناد باید جست‌وجو و فیلتر وضعیت داشته باشد. نام فایل در رابط فارسی و انگلیسی باید بدون جابه‌جایی حروف و پسوند نمایش داده شود.</w:t>
      </w:r>
    </w:p>
    <w:p>
      <w:pPr>
        <w:pStyle w:val="Heading2"/>
        <w:spacing w:before="180" w:after="120"/>
        <w:jc w:val="right"/>
        <w:bidi/>
      </w:pPr>
      <w:r>
        <w:rPr>
          <w:rFonts w:ascii="Aptos" w:hAnsi="Aptos" w:cs="Vazirmatn" w:eastAsia="Vazirmatn"/>
          <w:b/>
          <w:color w:val="183153"/>
          <w:sz w:val="25"/>
        </w:rPr>
        <w:t>۴.۳. پردازش، OCR و ایندکس</w:t>
      </w:r>
    </w:p>
    <w:p>
      <w:pPr>
        <w:pStyle w:val="ListBullet"/>
        <w:spacing w:after="40" w:line="324" w:lineRule="auto"/>
        <w:ind w:left="113" w:right="113"/>
        <w:jc w:val="right"/>
        <w:bidi/>
      </w:pPr>
      <w:r>
        <w:rPr>
          <w:rFonts w:ascii="Aptos" w:hAnsi="Aptos" w:cs="Vazirmatn" w:eastAsia="Vazirmatn"/>
          <w:b w:val="0"/>
          <w:color w:val="202938"/>
          <w:sz w:val="21"/>
        </w:rPr>
        <w:t>FR-ING-01: Worker اسناد باید کارهای صف‌شده را دریافت کند و هنگام اجرای طولانی، heartbeat مستقل خود را به‌روزرسانی کند.</w:t>
      </w:r>
    </w:p>
    <w:p>
      <w:pPr>
        <w:pStyle w:val="ListBullet"/>
        <w:spacing w:after="40" w:line="324" w:lineRule="auto"/>
        <w:ind w:left="113" w:right="113"/>
        <w:jc w:val="right"/>
        <w:bidi/>
      </w:pPr>
      <w:r>
        <w:rPr>
          <w:rFonts w:ascii="Aptos" w:hAnsi="Aptos" w:cs="Vazirmatn" w:eastAsia="Vazirmatn"/>
          <w:b w:val="0"/>
          <w:color w:val="202938"/>
          <w:sz w:val="21"/>
        </w:rPr>
        <w:t>FR-ING-02: سامانه باید محتوای PDF و متن را استخراج کند. برای PDF اسکن‌شده، در صورت فعال بودن تنظیمات OCR، درخواست OCR ارسال شود.</w:t>
      </w:r>
    </w:p>
    <w:p>
      <w:pPr>
        <w:pStyle w:val="ListBullet"/>
        <w:spacing w:after="40" w:line="324" w:lineRule="auto"/>
        <w:ind w:left="113" w:right="113"/>
        <w:jc w:val="right"/>
        <w:bidi/>
      </w:pPr>
      <w:r>
        <w:rPr>
          <w:rFonts w:ascii="Aptos" w:hAnsi="Aptos" w:cs="Vazirmatn" w:eastAsia="Vazirmatn"/>
          <w:b w:val="0"/>
          <w:color w:val="202938"/>
          <w:sz w:val="21"/>
        </w:rPr>
        <w:t>FR-ING-03: خروجی استخراج‌شده باید به قطعه‌های قابل بازیابی تبدیل و همراه با metadata مناسب، از جمله شناسهٔ سازمان، مجموعه، سند و در صورت وجود شمارهٔ صفحه، ذخیره شود.</w:t>
      </w:r>
    </w:p>
    <w:p>
      <w:pPr>
        <w:pStyle w:val="ListBullet"/>
        <w:spacing w:after="40" w:line="324" w:lineRule="auto"/>
        <w:ind w:left="113" w:right="113"/>
        <w:jc w:val="right"/>
        <w:bidi/>
      </w:pPr>
      <w:r>
        <w:rPr>
          <w:rFonts w:ascii="Aptos" w:hAnsi="Aptos" w:cs="Vazirmatn" w:eastAsia="Vazirmatn"/>
          <w:b w:val="0"/>
          <w:color w:val="202938"/>
          <w:sz w:val="21"/>
        </w:rPr>
        <w:t>FR-ING-04: اگر استخراج، OCR، قطعه‌بندی یا ایندکس ناموفق شود، سند نباید indexed علامت بخورد و علت قابل گزارش ثبت شود.</w:t>
      </w:r>
    </w:p>
    <w:p>
      <w:pPr>
        <w:pStyle w:val="ListBullet"/>
        <w:spacing w:after="40" w:line="324" w:lineRule="auto"/>
        <w:ind w:left="113" w:right="113"/>
        <w:jc w:val="right"/>
        <w:bidi/>
      </w:pPr>
      <w:r>
        <w:rPr>
          <w:rFonts w:ascii="Aptos" w:hAnsi="Aptos" w:cs="Vazirmatn" w:eastAsia="Vazirmatn"/>
          <w:b w:val="0"/>
          <w:color w:val="202938"/>
          <w:sz w:val="21"/>
        </w:rPr>
        <w:t>FR-ING-05: سرویس OCR باید امکان انتخاب ارائه‌دهنده از پیکربندی را داشته باشد و نبود کلید یا خطای سرویس خارجی را به‌صورت قابل تشخیص گزارش کند.</w:t>
      </w:r>
    </w:p>
    <w:p>
      <w:pPr>
        <w:pStyle w:val="Heading2"/>
        <w:spacing w:before="180" w:after="120"/>
        <w:jc w:val="right"/>
        <w:bidi/>
      </w:pPr>
      <w:r>
        <w:rPr>
          <w:rFonts w:ascii="Aptos" w:hAnsi="Aptos" w:cs="Vazirmatn" w:eastAsia="Vazirmatn"/>
          <w:b/>
          <w:color w:val="183153"/>
          <w:sz w:val="25"/>
        </w:rPr>
        <w:t>۴.۴. بازیابی و گفتگو</w:t>
      </w:r>
    </w:p>
    <w:p>
      <w:pPr>
        <w:pStyle w:val="ListBullet"/>
        <w:spacing w:after="40" w:line="324" w:lineRule="auto"/>
        <w:ind w:left="113" w:right="113"/>
        <w:jc w:val="right"/>
        <w:bidi/>
      </w:pPr>
      <w:r>
        <w:rPr>
          <w:rFonts w:ascii="Aptos" w:hAnsi="Aptos" w:cs="Vazirmatn" w:eastAsia="Vazirmatn"/>
          <w:b w:val="0"/>
          <w:color w:val="202938"/>
          <w:sz w:val="21"/>
        </w:rPr>
        <w:t>FR-RAG-01: کاربر باید بتواند پیش از آغاز گفتگو، مجموعهٔ دانش یا Assistant مجاز را انتخاب کند. در نبود مجموعهٔ قابل استفاده، مسیر ساخت مجموعه یا بارگذاری سند برای مدیر نمایش داده شود.</w:t>
      </w:r>
    </w:p>
    <w:p>
      <w:pPr>
        <w:pStyle w:val="ListBullet"/>
        <w:spacing w:after="40" w:line="324" w:lineRule="auto"/>
        <w:ind w:left="113" w:right="113"/>
        <w:jc w:val="right"/>
        <w:bidi/>
      </w:pPr>
      <w:r>
        <w:rPr>
          <w:rFonts w:ascii="Aptos" w:hAnsi="Aptos" w:cs="Vazirmatn" w:eastAsia="Vazirmatn"/>
          <w:b w:val="0"/>
          <w:color w:val="202938"/>
          <w:sz w:val="21"/>
        </w:rPr>
        <w:t>FR-RAG-02: سامانه باید برای هر پرسش، بازیابی را فقط در مرز سازمان و مجموعه‌های انتخاب‌شده انجام دهد.</w:t>
      </w:r>
    </w:p>
    <w:p>
      <w:pPr>
        <w:pStyle w:val="ListBullet"/>
        <w:spacing w:after="40" w:line="324" w:lineRule="auto"/>
        <w:ind w:left="113" w:right="113"/>
        <w:jc w:val="right"/>
        <w:bidi/>
      </w:pPr>
      <w:r>
        <w:rPr>
          <w:rFonts w:ascii="Aptos" w:hAnsi="Aptos" w:cs="Vazirmatn" w:eastAsia="Vazirmatn"/>
          <w:b w:val="0"/>
          <w:color w:val="202938"/>
          <w:sz w:val="21"/>
        </w:rPr>
        <w:t>FR-RAG-03: پاسخ باید به‌همراه وضعیت اعتماد نمایش داده شود: پاسخ مستند، پاسخ ترکیبی یا پشتوانهٔ ناکافی.</w:t>
      </w:r>
    </w:p>
    <w:p>
      <w:pPr>
        <w:pStyle w:val="ListBullet"/>
        <w:spacing w:after="40" w:line="324" w:lineRule="auto"/>
        <w:ind w:left="113" w:right="113"/>
        <w:jc w:val="right"/>
        <w:bidi/>
      </w:pPr>
      <w:r>
        <w:rPr>
          <w:rFonts w:ascii="Aptos" w:hAnsi="Aptos" w:cs="Vazirmatn" w:eastAsia="Vazirmatn"/>
          <w:b w:val="0"/>
          <w:color w:val="202938"/>
          <w:sz w:val="21"/>
        </w:rPr>
        <w:t>FR-RAG-04: کاربر باید بتواند منابع پاسخ را ببیند؛ هر منبع حداقل نام فایل، بخش یا صفحه در صورت موجود بودن و متن مرتبط را ارائه کند.</w:t>
      </w:r>
    </w:p>
    <w:p>
      <w:pPr>
        <w:pStyle w:val="ListBullet"/>
        <w:spacing w:after="40" w:line="324" w:lineRule="auto"/>
        <w:ind w:left="113" w:right="113"/>
        <w:jc w:val="right"/>
        <w:bidi/>
      </w:pPr>
      <w:r>
        <w:rPr>
          <w:rFonts w:ascii="Aptos" w:hAnsi="Aptos" w:cs="Vazirmatn" w:eastAsia="Vazirmatn"/>
          <w:b w:val="0"/>
          <w:color w:val="202938"/>
          <w:sz w:val="21"/>
        </w:rPr>
        <w:t>FR-RAG-05: در حال آماده‌سازی پاسخ، رابط باید حالت کوتاه و قابل فهم نمایش دهد و کاربر بتواند درخواست در حال اجرا را لغو کند.</w:t>
      </w:r>
    </w:p>
    <w:p>
      <w:pPr>
        <w:pStyle w:val="ListBullet"/>
        <w:spacing w:after="40" w:line="324" w:lineRule="auto"/>
        <w:ind w:left="113" w:right="113"/>
        <w:jc w:val="right"/>
        <w:bidi/>
      </w:pPr>
      <w:r>
        <w:rPr>
          <w:rFonts w:ascii="Aptos" w:hAnsi="Aptos" w:cs="Vazirmatn" w:eastAsia="Vazirmatn"/>
          <w:b w:val="0"/>
          <w:color w:val="202938"/>
          <w:sz w:val="21"/>
        </w:rPr>
        <w:t>FR-RAG-06: متن پرسش تا دریافت پاسخ موفق نباید از Composer حذف شود؛ در صورت خطا امکان ویرایش یا ارسال دوباره باید باقی بماند.</w:t>
      </w:r>
    </w:p>
    <w:p>
      <w:pPr>
        <w:pStyle w:val="ListBullet"/>
        <w:spacing w:after="40" w:line="324" w:lineRule="auto"/>
        <w:ind w:left="113" w:right="113"/>
        <w:jc w:val="right"/>
        <w:bidi/>
      </w:pPr>
      <w:r>
        <w:rPr>
          <w:rFonts w:ascii="Aptos" w:hAnsi="Aptos" w:cs="Vazirmatn" w:eastAsia="Vazirmatn"/>
          <w:b w:val="0"/>
          <w:color w:val="202938"/>
          <w:sz w:val="21"/>
        </w:rPr>
        <w:t>FR-RAG-07: گفتگو، پیام‌ها و منابع پاسخ باید ذخیره شوند تا در فهرست گفتگوهای اخیر قابل مراجعه باشند.</w:t>
      </w:r>
    </w:p>
    <w:p>
      <w:r>
        <w:br w:type="page"/>
      </w:r>
    </w:p>
    <w:p>
      <w:pPr>
        <w:pStyle w:val="Heading2"/>
        <w:spacing w:before="180" w:after="120"/>
        <w:jc w:val="right"/>
        <w:bidi/>
      </w:pPr>
      <w:r>
        <w:rPr>
          <w:rFonts w:ascii="Aptos" w:hAnsi="Aptos" w:cs="Vazirmatn" w:eastAsia="Vazirmatn"/>
          <w:b/>
          <w:color w:val="183153"/>
          <w:sz w:val="25"/>
        </w:rPr>
        <w:t>۴.۵. Assistant، اشتراک‌گذاری و بازخورد</w:t>
      </w:r>
    </w:p>
    <w:p>
      <w:pPr>
        <w:pStyle w:val="ListBullet"/>
        <w:spacing w:after="40" w:line="324" w:lineRule="auto"/>
        <w:ind w:left="113" w:right="113"/>
        <w:jc w:val="right"/>
        <w:bidi/>
      </w:pPr>
      <w:r>
        <w:rPr>
          <w:rFonts w:ascii="Aptos" w:hAnsi="Aptos" w:cs="Vazirmatn" w:eastAsia="Vazirmatn"/>
          <w:b w:val="0"/>
          <w:color w:val="202938"/>
          <w:sz w:val="21"/>
        </w:rPr>
        <w:t>FR-AST-01: مدیر باید بتواند Assistant ایجاد و تنظیم کند و مجموعه‌های دانش مجاز را به آن وصل کند.</w:t>
      </w:r>
    </w:p>
    <w:p>
      <w:pPr>
        <w:pStyle w:val="ListBullet"/>
        <w:spacing w:after="40" w:line="324" w:lineRule="auto"/>
        <w:ind w:left="113" w:right="113"/>
        <w:jc w:val="right"/>
        <w:bidi/>
      </w:pPr>
      <w:r>
        <w:rPr>
          <w:rFonts w:ascii="Aptos" w:hAnsi="Aptos" w:cs="Vazirmatn" w:eastAsia="Vazirmatn"/>
          <w:b w:val="0"/>
          <w:color w:val="202938"/>
          <w:sz w:val="21"/>
        </w:rPr>
        <w:t>FR-AST-02: گفت‌وگو با Assistant باید به‌طور شفاف نام Assistant و محدودهٔ دانش متصل را نشان دهد و مانند گفت‌وگوی اصلی قابل پیگیری باشد.</w:t>
      </w:r>
    </w:p>
    <w:p>
      <w:pPr>
        <w:pStyle w:val="ListBullet"/>
        <w:spacing w:after="40" w:line="324" w:lineRule="auto"/>
        <w:ind w:left="113" w:right="113"/>
        <w:jc w:val="right"/>
        <w:bidi/>
      </w:pPr>
      <w:r>
        <w:rPr>
          <w:rFonts w:ascii="Aptos" w:hAnsi="Aptos" w:cs="Vazirmatn" w:eastAsia="Vazirmatn"/>
          <w:b w:val="0"/>
          <w:color w:val="202938"/>
          <w:sz w:val="21"/>
        </w:rPr>
        <w:t>FR-SHARE-01: کاربر مجاز باید بتواند گفت‌وگو را با محدودهٔ تیم یا پیوند اشتراک‌گذاری کند. گفت‌وگوی اشتراکی باید پیام‌ها و منابع مجاز را نشان دهد.</w:t>
      </w:r>
    </w:p>
    <w:p>
      <w:pPr>
        <w:pStyle w:val="ListBullet"/>
        <w:spacing w:after="40" w:line="324" w:lineRule="auto"/>
        <w:ind w:left="113" w:right="113"/>
        <w:jc w:val="right"/>
        <w:bidi/>
      </w:pPr>
      <w:r>
        <w:rPr>
          <w:rFonts w:ascii="Aptos" w:hAnsi="Aptos" w:cs="Vazirmatn" w:eastAsia="Vazirmatn"/>
          <w:b w:val="0"/>
          <w:color w:val="202938"/>
          <w:sz w:val="21"/>
        </w:rPr>
        <w:t>FR-SHARE-02: رابط فقط پس از موفقیت API کلیپ‌بورد، موفقیت کپی پیوند را اعلام کند.</w:t>
      </w:r>
    </w:p>
    <w:p>
      <w:pPr>
        <w:pStyle w:val="ListBullet"/>
        <w:spacing w:after="40" w:line="324" w:lineRule="auto"/>
        <w:ind w:left="113" w:right="113"/>
        <w:jc w:val="right"/>
        <w:bidi/>
      </w:pPr>
      <w:r>
        <w:rPr>
          <w:rFonts w:ascii="Aptos" w:hAnsi="Aptos" w:cs="Vazirmatn" w:eastAsia="Vazirmatn"/>
          <w:b w:val="0"/>
          <w:color w:val="202938"/>
          <w:sz w:val="21"/>
        </w:rPr>
        <w:t>FR-FB-01: کاربر باید بتواند برای پاسخ بازخورد ثبت کند. بازخورد باید به پاسخ، گفتگو و در صورت وجود Assistant مربوط متصل باشد.</w:t>
      </w:r>
    </w:p>
    <w:p>
      <w:pPr>
        <w:pStyle w:val="ListBullet"/>
        <w:spacing w:after="40" w:line="324" w:lineRule="auto"/>
        <w:ind w:left="113" w:right="113"/>
        <w:jc w:val="right"/>
        <w:bidi/>
      </w:pPr>
      <w:r>
        <w:rPr>
          <w:rFonts w:ascii="Aptos" w:hAnsi="Aptos" w:cs="Vazirmatn" w:eastAsia="Vazirmatn"/>
          <w:b w:val="0"/>
          <w:color w:val="202938"/>
          <w:sz w:val="21"/>
        </w:rPr>
        <w:t>FR-UI-01: Dialogهای اشتراک‌گذاری و بازخورد باید semantics مناسب، focus trap، بستن با Escape و بازگشت focus به trigger داشته باشند.</w:t>
      </w:r>
    </w:p>
    <w:p>
      <w:pPr>
        <w:pStyle w:val="Heading2"/>
        <w:spacing w:before="180" w:after="120"/>
        <w:jc w:val="right"/>
        <w:bidi/>
      </w:pPr>
      <w:r>
        <w:rPr>
          <w:rFonts w:ascii="Aptos" w:hAnsi="Aptos" w:cs="Vazirmatn" w:eastAsia="Vazirmatn"/>
          <w:b/>
          <w:color w:val="183153"/>
          <w:sz w:val="25"/>
        </w:rPr>
        <w:t>۴.۶. Connector و همگام‌سازی</w:t>
      </w:r>
    </w:p>
    <w:p>
      <w:pPr>
        <w:pStyle w:val="ListBullet"/>
        <w:spacing w:after="40" w:line="324" w:lineRule="auto"/>
        <w:ind w:left="113" w:right="113"/>
        <w:jc w:val="right"/>
        <w:bidi/>
      </w:pPr>
      <w:r>
        <w:rPr>
          <w:rFonts w:ascii="Aptos" w:hAnsi="Aptos" w:cs="Vazirmatn" w:eastAsia="Vazirmatn"/>
          <w:b w:val="0"/>
          <w:color w:val="202938"/>
          <w:sz w:val="21"/>
        </w:rPr>
        <w:t>FR-CON-01: مدیر باید بتواند Connector وب، GitHub یا Webhook را برای یک مجموعهٔ دانش ایجاد کند.</w:t>
      </w:r>
    </w:p>
    <w:p>
      <w:pPr>
        <w:pStyle w:val="ListBullet"/>
        <w:spacing w:after="40" w:line="324" w:lineRule="auto"/>
        <w:ind w:left="113" w:right="113"/>
        <w:jc w:val="right"/>
        <w:bidi/>
      </w:pPr>
      <w:r>
        <w:rPr>
          <w:rFonts w:ascii="Aptos" w:hAnsi="Aptos" w:cs="Vazirmatn" w:eastAsia="Vazirmatn"/>
          <w:b w:val="0"/>
          <w:color w:val="202938"/>
          <w:sz w:val="21"/>
        </w:rPr>
        <w:t>FR-CON-02: نتیجهٔ همگام‌سازی باید وضعیت، تعداد سند افزوده یا به‌روزشده و آخرین خطا را در اختیار رابط قرار دهد.</w:t>
      </w:r>
    </w:p>
    <w:p>
      <w:pPr>
        <w:pStyle w:val="ListBullet"/>
        <w:spacing w:after="40" w:line="324" w:lineRule="auto"/>
        <w:ind w:left="113" w:right="113"/>
        <w:jc w:val="right"/>
        <w:bidi/>
      </w:pPr>
      <w:r>
        <w:rPr>
          <w:rFonts w:ascii="Aptos" w:hAnsi="Aptos" w:cs="Vazirmatn" w:eastAsia="Vazirmatn"/>
          <w:b w:val="0"/>
          <w:color w:val="202938"/>
          <w:sz w:val="21"/>
        </w:rPr>
        <w:t>FR-CON-03: Scheduler نباید یک Connector را در یک بازه توسط دو اجراکننده هم‌زمان همگام‌سازی کند. تصاحب Lease باید با عملیات پایگاه دادهٔ اتمیک انجام شود.</w:t>
      </w:r>
    </w:p>
    <w:p>
      <w:pPr>
        <w:pStyle w:val="ListBullet"/>
        <w:spacing w:after="40" w:line="324" w:lineRule="auto"/>
        <w:ind w:left="113" w:right="113"/>
        <w:jc w:val="right"/>
        <w:bidi/>
      </w:pPr>
      <w:r>
        <w:rPr>
          <w:rFonts w:ascii="Aptos" w:hAnsi="Aptos" w:cs="Vazirmatn" w:eastAsia="Vazirmatn"/>
          <w:b w:val="0"/>
          <w:color w:val="202938"/>
          <w:sz w:val="21"/>
        </w:rPr>
        <w:t>FR-CON-04: اطلاعات محرمانهٔ Connector نباید در پاسخ API، ثبت رویداد یا رابط کاربری نمایش داده شود.</w:t>
      </w:r>
    </w:p>
    <w:p>
      <w:pPr>
        <w:pStyle w:val="Heading2"/>
        <w:spacing w:before="180" w:after="120"/>
        <w:jc w:val="right"/>
        <w:bidi/>
      </w:pPr>
      <w:r>
        <w:rPr>
          <w:rFonts w:ascii="Aptos" w:hAnsi="Aptos" w:cs="Vazirmatn" w:eastAsia="Vazirmatn"/>
          <w:b/>
          <w:color w:val="183153"/>
          <w:sz w:val="25"/>
        </w:rPr>
        <w:t>۴.۷. جست‌وجو، تحلیل و ارزیابی</w:t>
      </w:r>
    </w:p>
    <w:p>
      <w:pPr>
        <w:pStyle w:val="ListBullet"/>
        <w:spacing w:after="40" w:line="324" w:lineRule="auto"/>
        <w:ind w:left="113" w:right="113"/>
        <w:jc w:val="right"/>
        <w:bidi/>
      </w:pPr>
      <w:r>
        <w:rPr>
          <w:rFonts w:ascii="Aptos" w:hAnsi="Aptos" w:cs="Vazirmatn" w:eastAsia="Vazirmatn"/>
          <w:b w:val="0"/>
          <w:color w:val="202938"/>
          <w:sz w:val="21"/>
        </w:rPr>
        <w:t>FR-SEARCH-01: مسیر جست‌وجو باید نتیجهٔ بازیابی را در محدودهٔ مجاز کاربر برگرداند و metadata فیلتر را اعمال کند.</w:t>
      </w:r>
    </w:p>
    <w:p>
      <w:pPr>
        <w:pStyle w:val="ListBullet"/>
        <w:spacing w:after="40" w:line="324" w:lineRule="auto"/>
        <w:ind w:left="113" w:right="113"/>
        <w:jc w:val="right"/>
        <w:bidi/>
      </w:pPr>
      <w:r>
        <w:rPr>
          <w:rFonts w:ascii="Aptos" w:hAnsi="Aptos" w:cs="Vazirmatn" w:eastAsia="Vazirmatn"/>
          <w:b w:val="0"/>
          <w:color w:val="202938"/>
          <w:sz w:val="21"/>
        </w:rPr>
        <w:t>FR-AN-01: صفحهٔ تحلیل باید بازهٔ زمانی انتخاب‌شده را به نتیجهٔ همان درخواست متصل نگه دارد؛ در صورت خطا دادهٔ بازهٔ قبلی نباید با برچسب بازهٔ جدید نمایش داده شود.</w:t>
      </w:r>
    </w:p>
    <w:p>
      <w:pPr>
        <w:pStyle w:val="ListBullet"/>
        <w:spacing w:after="40" w:line="324" w:lineRule="auto"/>
        <w:ind w:left="113" w:right="113"/>
        <w:jc w:val="right"/>
        <w:bidi/>
      </w:pPr>
      <w:r>
        <w:rPr>
          <w:rFonts w:ascii="Aptos" w:hAnsi="Aptos" w:cs="Vazirmatn" w:eastAsia="Vazirmatn"/>
          <w:b w:val="0"/>
          <w:color w:val="202938"/>
          <w:sz w:val="21"/>
        </w:rPr>
        <w:t>FR-EVAL-01: مدیر باید بتواند مجموعه‌داده و اجرای ارزیابی را مدیریت کند تا کیفیت بازیابی یا پاسخ در سناریوهای تعریف‌شده بررسی شود.</w:t>
      </w:r>
    </w:p>
    <w:p>
      <w:r>
        <w:br w:type="page"/>
      </w:r>
    </w:p>
    <w:p>
      <w:pPr>
        <w:pStyle w:val="Heading1"/>
        <w:spacing w:before="280" w:after="120"/>
        <w:jc w:val="right"/>
        <w:bidi/>
      </w:pPr>
      <w:r>
        <w:rPr>
          <w:rFonts w:ascii="Aptos" w:hAnsi="Aptos" w:cs="Vazirmatn" w:eastAsia="Vazirmatn"/>
          <w:b/>
          <w:color w:val="183153"/>
          <w:sz w:val="30"/>
        </w:rPr>
        <w:t>۵. رابط‌های خارجی</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رابط</w:t>
            </w:r>
          </w:p>
        </w:tc>
        <w:tc>
          <w:tcPr>
            <w:tcW w:type="dxa" w:w="6520"/>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انتظار</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رابط وب</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برنامهٔ React و Vite که از API نسخه‌بندی‌شدهٔ /api/v1 استفاده می‌کند و از فارسی و انگلیسی پشتیبانی می‌کند.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API کاربردی</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سرویس FastAPI برای احراز هویت، گفتگو، مجموعه‌های دانش، اسناد، Connectorها، Assistantها، اشتراک‌گذاری، بازخورد و تحلیل.</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مخزن برداری</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Qdrant برای نگهداری و جست‌وجوی بردارها و metadata بازیابی.</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ارائه‌دهندهٔ مدل</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OpenRouter یا ارائه‌دهندهٔ سازگار، برای تولید پاسخ و در صورت پیکربندی برخی قابلیت‌های پردازش.</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ذخیره‌سازی فایل</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فضای ذخیره‌سازی پیکربندی‌شده برای فایل اصلی و پیش‌نمایش‌های لازم.</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OCR ابری</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ارائه‌دهندهٔ فعال‌شده از طریق تنظیمات؛ درخواست باید محدودیت زمانی، خطای قابل تشخیص و نگهداری ایمن اعتبارنامه داشته باشد.</w:t>
            </w:r>
          </w:p>
        </w:tc>
      </w:tr>
    </w:tbl>
    <w:p>
      <w:pPr>
        <w:spacing w:after="40"/>
      </w:pPr>
    </w:p>
    <w:p>
      <w:pPr>
        <w:pStyle w:val="Heading1"/>
        <w:spacing w:before="280" w:after="120"/>
        <w:jc w:val="right"/>
        <w:bidi/>
      </w:pPr>
      <w:r>
        <w:rPr>
          <w:rFonts w:ascii="Aptos" w:hAnsi="Aptos" w:cs="Vazirmatn" w:eastAsia="Vazirmatn"/>
          <w:b/>
          <w:color w:val="183153"/>
          <w:sz w:val="30"/>
        </w:rPr>
        <w:t>۶. الزامات غیرکارکردی</w:t>
      </w:r>
    </w:p>
    <w:p>
      <w:pPr>
        <w:pStyle w:val="Heading2"/>
        <w:spacing w:before="180" w:after="120"/>
        <w:jc w:val="right"/>
        <w:bidi/>
      </w:pPr>
      <w:r>
        <w:rPr>
          <w:rFonts w:ascii="Aptos" w:hAnsi="Aptos" w:cs="Vazirmatn" w:eastAsia="Vazirmatn"/>
          <w:b/>
          <w:color w:val="183153"/>
          <w:sz w:val="25"/>
        </w:rPr>
        <w:t>۶.۱. امنیت و حریم داده</w:t>
      </w:r>
    </w:p>
    <w:p>
      <w:pPr>
        <w:pStyle w:val="ListBullet"/>
        <w:spacing w:after="40" w:line="324" w:lineRule="auto"/>
        <w:ind w:left="113" w:right="113"/>
        <w:jc w:val="right"/>
        <w:bidi/>
      </w:pPr>
      <w:r>
        <w:rPr>
          <w:rFonts w:ascii="Aptos" w:hAnsi="Aptos" w:cs="Vazirmatn" w:eastAsia="Vazirmatn"/>
          <w:b w:val="0"/>
          <w:color w:val="202938"/>
          <w:sz w:val="21"/>
        </w:rPr>
        <w:t>NFR-SEC-01: هر درخواست باید سازمان و نقش کاربر را در کنترل دسترسی لحاظ کند. دادهٔ یک سازمان نباید در بازیابی یا API سازمان دیگر ظاهر شود.</w:t>
      </w:r>
    </w:p>
    <w:p>
      <w:pPr>
        <w:pStyle w:val="ListBullet"/>
        <w:spacing w:after="40" w:line="324" w:lineRule="auto"/>
        <w:ind w:left="113" w:right="113"/>
        <w:jc w:val="right"/>
        <w:bidi/>
      </w:pPr>
      <w:r>
        <w:rPr>
          <w:rFonts w:ascii="Aptos" w:hAnsi="Aptos" w:cs="Vazirmatn" w:eastAsia="Vazirmatn"/>
          <w:b w:val="0"/>
          <w:color w:val="202938"/>
          <w:sz w:val="21"/>
        </w:rPr>
        <w:t>NFR-SEC-02: گذرواژه و توکن خام نباید در log یا پاسخ API ذخیره و افشا شود.</w:t>
      </w:r>
    </w:p>
    <w:p>
      <w:pPr>
        <w:pStyle w:val="ListBullet"/>
        <w:spacing w:after="40" w:line="324" w:lineRule="auto"/>
        <w:ind w:left="113" w:right="113"/>
        <w:jc w:val="right"/>
        <w:bidi/>
      </w:pPr>
      <w:r>
        <w:rPr>
          <w:rFonts w:ascii="Aptos" w:hAnsi="Aptos" w:cs="Vazirmatn" w:eastAsia="Vazirmatn"/>
          <w:b w:val="0"/>
          <w:color w:val="202938"/>
          <w:sz w:val="21"/>
        </w:rPr>
        <w:t>NFR-SEC-03: اعتبارنامهٔ Connector و OCR باید در یک سازوکار مدیریت راز نگهداری شوند و فقط هنگام نیاز برای همان سازمان دریافت شوند. بارگذاری همهٔ اعتبارنامه‌ها در یک متغیر محیطی فرایند، راه‌حل نهایی قابل قبول نیست.</w:t>
      </w:r>
    </w:p>
    <w:p>
      <w:pPr>
        <w:pStyle w:val="ListBullet"/>
        <w:spacing w:after="40" w:line="324" w:lineRule="auto"/>
        <w:ind w:left="113" w:right="113"/>
        <w:jc w:val="right"/>
        <w:bidi/>
      </w:pPr>
      <w:r>
        <w:rPr>
          <w:rFonts w:ascii="Aptos" w:hAnsi="Aptos" w:cs="Vazirmatn" w:eastAsia="Vazirmatn"/>
          <w:b w:val="0"/>
          <w:color w:val="202938"/>
          <w:sz w:val="21"/>
        </w:rPr>
        <w:t>NFR-SEC-04: نشست باید امکان ابطال سمت سرور داشته باشد؛ خروج، غیرفعال‌سازی نشست یا تغییر رمز باید بتواند اعتبار توکن سرقت‌شده را پایان دهد.</w:t>
      </w:r>
    </w:p>
    <w:p>
      <w:pPr>
        <w:pStyle w:val="ListBullet"/>
        <w:spacing w:after="40" w:line="324" w:lineRule="auto"/>
        <w:ind w:left="113" w:right="113"/>
        <w:jc w:val="right"/>
        <w:bidi/>
      </w:pPr>
      <w:r>
        <w:rPr>
          <w:rFonts w:ascii="Aptos" w:hAnsi="Aptos" w:cs="Vazirmatn" w:eastAsia="Vazirmatn"/>
          <w:b w:val="0"/>
          <w:color w:val="202938"/>
          <w:sz w:val="21"/>
        </w:rPr>
        <w:t>NFR-SEC-05: عملیات مخرب مانند حذف مجموعه یا حذف سند باید تأیید صریح کاربر بخواهد.</w:t>
      </w:r>
    </w:p>
    <w:p>
      <w:pPr>
        <w:pStyle w:val="Heading2"/>
        <w:spacing w:before="180" w:after="120"/>
        <w:jc w:val="right"/>
        <w:bidi/>
      </w:pPr>
      <w:r>
        <w:rPr>
          <w:rFonts w:ascii="Aptos" w:hAnsi="Aptos" w:cs="Vazirmatn" w:eastAsia="Vazirmatn"/>
          <w:b/>
          <w:color w:val="183153"/>
          <w:sz w:val="25"/>
        </w:rPr>
        <w:t>۶.۲. دسترس‌پذیری و تجربهٔ چندزبانه</w:t>
      </w:r>
    </w:p>
    <w:p>
      <w:pPr>
        <w:pStyle w:val="ListBullet"/>
        <w:spacing w:after="40" w:line="324" w:lineRule="auto"/>
        <w:ind w:left="113" w:right="113"/>
        <w:jc w:val="right"/>
        <w:bidi/>
      </w:pPr>
      <w:r>
        <w:rPr>
          <w:rFonts w:ascii="Aptos" w:hAnsi="Aptos" w:cs="Vazirmatn" w:eastAsia="Vazirmatn"/>
          <w:b w:val="0"/>
          <w:color w:val="202938"/>
          <w:sz w:val="21"/>
        </w:rPr>
        <w:t>NFR-UX-01: متن کاربردی نباید کوچک‌تر از ۱۲px باشد. input و textarea در موبایل حداقل ۱۶px باشند.</w:t>
      </w:r>
    </w:p>
    <w:p>
      <w:pPr>
        <w:pStyle w:val="ListBullet"/>
        <w:spacing w:after="40" w:line="324" w:lineRule="auto"/>
        <w:ind w:left="113" w:right="113"/>
        <w:jc w:val="right"/>
        <w:bidi/>
      </w:pPr>
      <w:r>
        <w:rPr>
          <w:rFonts w:ascii="Aptos" w:hAnsi="Aptos" w:cs="Vazirmatn" w:eastAsia="Vazirmatn"/>
          <w:b w:val="0"/>
          <w:color w:val="202938"/>
          <w:sz w:val="21"/>
        </w:rPr>
        <w:t>NFR-UX-02: رابط باید در Light و Dark mode کنتراست خوانا داشته باشد. رنگ به‌تنهایی برای وضعیت کافی نیست.</w:t>
      </w:r>
    </w:p>
    <w:p>
      <w:pPr>
        <w:pStyle w:val="ListBullet"/>
        <w:spacing w:after="40" w:line="324" w:lineRule="auto"/>
        <w:ind w:left="113" w:right="113"/>
        <w:jc w:val="right"/>
        <w:bidi/>
      </w:pPr>
      <w:r>
        <w:rPr>
          <w:rFonts w:ascii="Aptos" w:hAnsi="Aptos" w:cs="Vazirmatn" w:eastAsia="Vazirmatn"/>
          <w:b w:val="0"/>
          <w:color w:val="202938"/>
          <w:sz w:val="21"/>
        </w:rPr>
        <w:t>NFR-UX-03: کنترل‌های آیکونی باید aria-label و در موبایل هدف لمس حداقل ۴۴ در ۴۴px داشته باشند.</w:t>
      </w:r>
    </w:p>
    <w:p>
      <w:pPr>
        <w:pStyle w:val="ListBullet"/>
        <w:spacing w:after="40" w:line="324" w:lineRule="auto"/>
        <w:ind w:left="113" w:right="113"/>
        <w:jc w:val="right"/>
        <w:bidi/>
      </w:pPr>
      <w:r>
        <w:rPr>
          <w:rFonts w:ascii="Aptos" w:hAnsi="Aptos" w:cs="Vazirmatn" w:eastAsia="Vazirmatn"/>
          <w:b w:val="0"/>
          <w:color w:val="202938"/>
          <w:sz w:val="21"/>
        </w:rPr>
        <w:t>NFR-UX-04: Sidebar موبایل باید drawer قابل بستن با Escape، focus trap و جلوگیری از دسترسی Tab به محتوای پشت خود باشد.</w:t>
      </w:r>
    </w:p>
    <w:p>
      <w:pPr>
        <w:pStyle w:val="ListBullet"/>
        <w:spacing w:after="40" w:line="324" w:lineRule="auto"/>
        <w:ind w:left="113" w:right="113"/>
        <w:jc w:val="right"/>
        <w:bidi/>
      </w:pPr>
      <w:r>
        <w:rPr>
          <w:rFonts w:ascii="Aptos" w:hAnsi="Aptos" w:cs="Vazirmatn" w:eastAsia="Vazirmatn"/>
          <w:b w:val="0"/>
          <w:color w:val="202938"/>
          <w:sz w:val="21"/>
        </w:rPr>
        <w:t>NFR-UX-05: رابط باید در عرض‌های ۳۲۰، ۳۷۵، ۳۹۰، ۷۶۸، ۱۰۲۴ و ۱۴۴۰px بدون overflow مخرب، قطع کنترل یا متن ناخوانا کار کند.</w:t>
      </w:r>
    </w:p>
    <w:p>
      <w:pPr>
        <w:pStyle w:val="ListBullet"/>
        <w:spacing w:after="40" w:line="324" w:lineRule="auto"/>
        <w:ind w:left="113" w:right="113"/>
        <w:jc w:val="right"/>
        <w:bidi/>
      </w:pPr>
      <w:r>
        <w:rPr>
          <w:rFonts w:ascii="Aptos" w:hAnsi="Aptos" w:cs="Vazirmatn" w:eastAsia="Vazirmatn"/>
          <w:b w:val="0"/>
          <w:color w:val="202938"/>
          <w:sz w:val="21"/>
        </w:rPr>
        <w:t>NFR-UX-06: انیمیشن‌ها باید با prefers-reduced-motion کاهش یابند و عملیات اصلی را پنهان نکنند.</w:t>
      </w:r>
    </w:p>
    <w:p>
      <w:pPr>
        <w:pStyle w:val="Heading2"/>
        <w:spacing w:before="180" w:after="120"/>
        <w:jc w:val="right"/>
        <w:bidi/>
      </w:pPr>
      <w:r>
        <w:rPr>
          <w:rFonts w:ascii="Aptos" w:hAnsi="Aptos" w:cs="Vazirmatn" w:eastAsia="Vazirmatn"/>
          <w:b/>
          <w:color w:val="183153"/>
          <w:sz w:val="25"/>
        </w:rPr>
        <w:t>۶.۳. پایداری و مشاهده‌پذیری</w:t>
      </w:r>
    </w:p>
    <w:p>
      <w:pPr>
        <w:pStyle w:val="ListBullet"/>
        <w:spacing w:after="40" w:line="324" w:lineRule="auto"/>
        <w:ind w:left="113" w:right="113"/>
        <w:jc w:val="right"/>
        <w:bidi/>
      </w:pPr>
      <w:r>
        <w:rPr>
          <w:rFonts w:ascii="Aptos" w:hAnsi="Aptos" w:cs="Vazirmatn" w:eastAsia="Vazirmatn"/>
          <w:b w:val="0"/>
          <w:color w:val="202938"/>
          <w:sz w:val="21"/>
        </w:rPr>
        <w:t>NFR-REL-01: /health باید در خرابی وابستگی‌های بحرانی، کد وضعیت ناموفق HTTP برگرداند. محاسبهٔ status_code بدون اعمال در Response کافی نیست.</w:t>
      </w:r>
    </w:p>
    <w:p>
      <w:pPr>
        <w:pStyle w:val="ListBullet"/>
        <w:spacing w:after="40" w:line="324" w:lineRule="auto"/>
        <w:ind w:left="113" w:right="113"/>
        <w:jc w:val="right"/>
        <w:bidi/>
      </w:pPr>
      <w:r>
        <w:rPr>
          <w:rFonts w:ascii="Aptos" w:hAnsi="Aptos" w:cs="Vazirmatn" w:eastAsia="Vazirmatn"/>
          <w:b w:val="0"/>
          <w:color w:val="202938"/>
          <w:sz w:val="21"/>
        </w:rPr>
        <w:t>NFR-REL-02: Liveness نباید schema، collection، index یا فایل موقت ایجاد و حذف کند. بررسی عمیق وابستگی‌ها باید در readiness جداگانه با timeout کوتاه انجام شود.</w:t>
      </w:r>
    </w:p>
    <w:p>
      <w:pPr>
        <w:pStyle w:val="ListBullet"/>
        <w:spacing w:after="40" w:line="324" w:lineRule="auto"/>
        <w:ind w:left="113" w:right="113"/>
        <w:jc w:val="right"/>
        <w:bidi/>
      </w:pPr>
      <w:r>
        <w:rPr>
          <w:rFonts w:ascii="Aptos" w:hAnsi="Aptos" w:cs="Vazirmatn" w:eastAsia="Vazirmatn"/>
          <w:b w:val="0"/>
          <w:color w:val="202938"/>
          <w:sz w:val="21"/>
        </w:rPr>
        <w:t>NFR-REL-03: readiness باید Workerهای ضروری پردازش سند و Scheduler Connector را از طریق registry heartbeat بررسی کند و stale بودن آن‌ها را گزارش دهد.</w:t>
      </w:r>
    </w:p>
    <w:p>
      <w:pPr>
        <w:pStyle w:val="ListBullet"/>
        <w:spacing w:after="40" w:line="324" w:lineRule="auto"/>
        <w:ind w:left="113" w:right="113"/>
        <w:jc w:val="right"/>
        <w:bidi/>
      </w:pPr>
      <w:r>
        <w:rPr>
          <w:rFonts w:ascii="Aptos" w:hAnsi="Aptos" w:cs="Vazirmatn" w:eastAsia="Vazirmatn"/>
          <w:b w:val="0"/>
          <w:color w:val="202938"/>
          <w:sz w:val="21"/>
        </w:rPr>
        <w:t>NFR-REL-04: تماس‌های Qdrant و ارائه‌دهندهٔ مدل باید timeout، retry محدود با backoff، مدیریت 429 و کنترل خطای قابل گزارش داشته باشند.</w:t>
      </w:r>
    </w:p>
    <w:p>
      <w:pPr>
        <w:pStyle w:val="ListBullet"/>
        <w:spacing w:after="40" w:line="324" w:lineRule="auto"/>
        <w:ind w:left="113" w:right="113"/>
        <w:jc w:val="right"/>
        <w:bidi/>
      </w:pPr>
      <w:r>
        <w:rPr>
          <w:rFonts w:ascii="Aptos" w:hAnsi="Aptos" w:cs="Vazirmatn" w:eastAsia="Vazirmatn"/>
          <w:b w:val="0"/>
          <w:color w:val="202938"/>
          <w:sz w:val="21"/>
        </w:rPr>
        <w:t>NFR-REL-05: workerهای طولانی‌مدت باید heartbeat مستقل داشته باشند تا اجرای سالم به اشتباه stale تشخیص داده نشود.</w:t>
      </w:r>
    </w:p>
    <w:p>
      <w:r>
        <w:br w:type="page"/>
      </w:r>
    </w:p>
    <w:p>
      <w:pPr>
        <w:pStyle w:val="Heading1"/>
        <w:spacing w:before="280" w:after="120"/>
        <w:jc w:val="right"/>
        <w:bidi/>
      </w:pPr>
      <w:r>
        <w:rPr>
          <w:rFonts w:ascii="Aptos" w:hAnsi="Aptos" w:cs="Vazirmatn" w:eastAsia="Vazirmatn"/>
          <w:b/>
          <w:color w:val="183153"/>
          <w:sz w:val="30"/>
        </w:rPr>
        <w:t>۷. داده و نگهداری</w:t>
      </w:r>
    </w:p>
    <w:p>
      <w:pPr>
        <w:spacing w:after="100" w:line="372" w:lineRule="auto"/>
        <w:jc w:val="right"/>
        <w:bidi/>
      </w:pPr>
      <w:r>
        <w:rPr>
          <w:rFonts w:ascii="Aptos" w:hAnsi="Aptos" w:cs="Vazirmatn" w:eastAsia="Vazirmatn"/>
          <w:b w:val="0"/>
          <w:color w:val="202938"/>
          <w:sz w:val="22"/>
        </w:rPr>
        <w:t>دادهٔ عملیاتی شامل سازمان، کاربر، نقش، نشست، مجموعهٔ دانش، سند، وضعیت پردازش، قطعه، بردار، گفتگو، پیام، Assistant، بازخورد، اشتراک‌گذاری، Connector و رخدادهای همگام‌سازی است. هر داده‌ای که به بازیابی یا دسترسی کاربر مربوط می‌شود باید شناسهٔ سازمان را حفظ کند.</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داده</w:t>
            </w:r>
          </w:p>
        </w:tc>
        <w:tc>
          <w:tcPr>
            <w:tcW w:type="dxa" w:w="6520"/>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قاعدهٔ نگهداری</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فایل اصلی</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در فضای ذخیره‌سازی پیکربندی‌شده نگهداری می‌شود و فقط با مجوز معتبر قابل دریافت است.</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متن و قطعه</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به سند و مجموعهٔ دانش تعلق دارد و با حذف معتبر سند یا مجموعه طبق سیاست حذف سامانه مدیریت می‌شود.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بردار و metadata</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با شناسهٔ سازمان و مجموعه ذخیره می‌شود تا فیلتر بازیابی در سطح سرویس اعمال شود.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گفتگو و پیام</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به مالک و سازمان مربوط است و برای ادامهٔ گفتگو و اشتراک‌گذاری کنترل‌شده نگهداری می‌شود.</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رازها و کلیدها</w:t>
            </w:r>
          </w:p>
        </w:tc>
        <w:tc>
          <w:tcPr>
            <w:tcW w:type="dxa" w:w="6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در خروجی، log و مستندات عملیاتی نمایش داده نمی‌شود و چرخهٔ چرخش آن باید بدون افشای راز پشتیبانی شود.</w:t>
            </w:r>
          </w:p>
        </w:tc>
      </w:tr>
    </w:tbl>
    <w:p>
      <w:pPr>
        <w:spacing w:after="40"/>
      </w:pPr>
    </w:p>
    <w:p>
      <w:pPr>
        <w:pStyle w:val="Heading1"/>
        <w:spacing w:before="280" w:after="120"/>
        <w:jc w:val="right"/>
        <w:bidi/>
      </w:pPr>
      <w:r>
        <w:rPr>
          <w:rFonts w:ascii="Aptos" w:hAnsi="Aptos" w:cs="Vazirmatn" w:eastAsia="Vazirmatn"/>
          <w:b/>
          <w:color w:val="183153"/>
          <w:sz w:val="30"/>
        </w:rPr>
        <w:t>۸. معیارهای پذیرش منتخب</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شناسه</w:t>
            </w:r>
          </w:p>
        </w:tc>
        <w:tc>
          <w:tcPr>
            <w:tcW w:type="dxa" w:w="3572"/>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سناریوی پذیرش</w:t>
            </w:r>
          </w:p>
        </w:tc>
        <w:tc>
          <w:tcPr>
            <w:tcW w:type="dxa" w:w="4082"/>
            <w:shd w:fill="18315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bidi/>
            </w:pPr>
            <w:r>
              <w:rPr>
                <w:rFonts w:ascii="Aptos" w:hAnsi="Aptos" w:cs="Vazirmatn" w:eastAsia="Vazirmatn"/>
                <w:b/>
                <w:color w:val="FFFFFF"/>
                <w:sz w:val="19"/>
              </w:rPr>
              <w:t>نتیجهٔ مورد انتظار</w:t>
            </w:r>
          </w:p>
        </w:tc>
      </w:tr>
      <w:tr>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AC-01</w:t>
            </w:r>
          </w:p>
        </w:tc>
        <w:tc>
          <w:tcPr>
            <w:tcW w:type="dxa" w:w="35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کاربر مجاز PDF را به مجموعه ارسال می‌کند.</w:t>
            </w:r>
          </w:p>
        </w:tc>
        <w:tc>
          <w:tcPr>
            <w:tcW w:type="dxa" w:w="408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رکورد سند ایجاد می‌شود، وضعیت و پیشرفت نمایش داده می‌شود و پس از ایندکس، سند قابل بازیابی است.</w:t>
            </w:r>
          </w:p>
        </w:tc>
      </w:tr>
      <w:tr>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AC-02</w:t>
            </w:r>
          </w:p>
        </w:tc>
        <w:tc>
          <w:tcPr>
            <w:tcW w:type="dxa" w:w="35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پردازش PDF اسکن‌شده با OCR پیکربندی‌نشده یا ناموفق اجرا می‌شود.</w:t>
            </w:r>
          </w:p>
        </w:tc>
        <w:tc>
          <w:tcPr>
            <w:tcW w:type="dxa" w:w="408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سند failed می‌شود، علت عملیاتی نمایش داده می‌شود و Retry در دسترس است.</w:t>
            </w:r>
          </w:p>
        </w:tc>
      </w:tr>
      <w:tr>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AC-03</w:t>
            </w:r>
          </w:p>
        </w:tc>
        <w:tc>
          <w:tcPr>
            <w:tcW w:type="dxa" w:w="35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کاربر سؤال مرتبط با یک مجموعهٔ دانش می‌پرسد.</w:t>
            </w:r>
          </w:p>
        </w:tc>
        <w:tc>
          <w:tcPr>
            <w:tcW w:type="dxa" w:w="408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پاسخ، وضعیت اعتماد و منابع قابل بازکردن در همان گفتگو نمایش داده می‌شوند.</w:t>
            </w:r>
          </w:p>
        </w:tc>
      </w:tr>
      <w:tr>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AC-04</w:t>
            </w:r>
          </w:p>
        </w:tc>
        <w:tc>
          <w:tcPr>
            <w:tcW w:type="dxa" w:w="35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کاربر در زمان انتظار پاسخ لغو را می‌زند.</w:t>
            </w:r>
          </w:p>
        </w:tc>
        <w:tc>
          <w:tcPr>
            <w:tcW w:type="dxa" w:w="408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درخواست متوقف می‌شود و متن پرسش برای ویرایش یا ارسال مجدد باقی می‌ماند.</w:t>
            </w:r>
          </w:p>
        </w:tc>
      </w:tr>
      <w:tr>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AC-05</w:t>
            </w:r>
          </w:p>
        </w:tc>
        <w:tc>
          <w:tcPr>
            <w:tcW w:type="dxa" w:w="35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دو Scheduler به Connector منقضی‌شده می‌رسند.</w:t>
            </w:r>
          </w:p>
        </w:tc>
        <w:tc>
          <w:tcPr>
            <w:tcW w:type="dxa" w:w="408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فقط یکی Lease را به‌صورت اتمیک تصاحب و همگام‌سازی را اجرا می‌کند.</w:t>
            </w:r>
          </w:p>
        </w:tc>
      </w:tr>
      <w:tr>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AC-06</w:t>
            </w:r>
          </w:p>
        </w:tc>
        <w:tc>
          <w:tcPr>
            <w:tcW w:type="dxa" w:w="35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پایگاه داده یا Qdrant در دسترس نیست.</w:t>
            </w:r>
          </w:p>
        </w:tc>
        <w:tc>
          <w:tcPr>
            <w:tcW w:type="dxa" w:w="408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F7F9FB"/>
            <w:vAlign w:val="center"/>
          </w:tcPr>
          <w:p>
            <w:pPr>
              <w:spacing w:line="300" w:lineRule="auto"/>
              <w:jc w:val="right"/>
              <w:bidi/>
            </w:pPr>
            <w:r>
              <w:rPr>
                <w:rFonts w:ascii="Aptos" w:hAnsi="Aptos" w:cs="Vazirmatn" w:eastAsia="Vazirmatn"/>
                <w:b w:val="0"/>
                <w:color w:val="202938"/>
                <w:sz w:val="18"/>
              </w:rPr>
              <w:t>readiness ناموفق است و پاسخ HTTP با کد ناموفق برمی‌گردد؛ health probe عملیات تغییردهنده انجام نمی‌دهد.</w:t>
            </w:r>
          </w:p>
        </w:tc>
      </w:tr>
      <w:tr>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AC-07</w:t>
            </w:r>
          </w:p>
        </w:tc>
        <w:tc>
          <w:tcPr>
            <w:tcW w:type="dxa" w:w="35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نام فارسی با پسوند لاتین در رابط انگلیسی و فارسی نمایش داده می‌شود.</w:t>
            </w:r>
          </w:p>
        </w:tc>
        <w:tc>
          <w:tcPr>
            <w:tcW w:type="dxa" w:w="408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line="300" w:lineRule="auto"/>
              <w:jc w:val="right"/>
              <w:bidi/>
            </w:pPr>
            <w:r>
              <w:rPr>
                <w:rFonts w:ascii="Aptos" w:hAnsi="Aptos" w:cs="Vazirmatn" w:eastAsia="Vazirmatn"/>
                <w:b w:val="0"/>
                <w:color w:val="202938"/>
                <w:sz w:val="18"/>
              </w:rPr>
              <w:t>در هر رابط، محل قرارگیری مطابق جهت رابط است و نام یا پسوند دچار وارونگی و جابه‌جایی نمی‌شود.</w:t>
            </w:r>
          </w:p>
        </w:tc>
      </w:tr>
    </w:tbl>
    <w:p>
      <w:pPr>
        <w:spacing w:after="40"/>
      </w:pPr>
    </w:p>
    <w:p>
      <w:pPr>
        <w:pStyle w:val="Heading1"/>
        <w:spacing w:before="280" w:after="120"/>
        <w:jc w:val="right"/>
        <w:bidi/>
      </w:pPr>
      <w:r>
        <w:rPr>
          <w:rFonts w:ascii="Aptos" w:hAnsi="Aptos" w:cs="Vazirmatn" w:eastAsia="Vazirmatn"/>
          <w:b/>
          <w:color w:val="183153"/>
          <w:sz w:val="30"/>
        </w:rPr>
        <w:t>۹. محدودیت‌های نسخهٔ فعلی</w:t>
      </w:r>
    </w:p>
    <w:p>
      <w:pPr>
        <w:spacing w:after="100" w:line="372" w:lineRule="auto"/>
        <w:jc w:val="right"/>
        <w:bidi/>
      </w:pPr>
      <w:r>
        <w:rPr>
          <w:rFonts w:ascii="Aptos" w:hAnsi="Aptos" w:cs="Vazirmatn" w:eastAsia="Vazirmatn"/>
          <w:b w:val="0"/>
          <w:color w:val="202938"/>
          <w:sz w:val="22"/>
        </w:rPr>
        <w:t>دقت OCR به کیفیت تصویر، زبان سند، ارائه‌دهندهٔ فعال و محدودیت‌های سرویس وابسته است. پاسخ تولیدی نیز ممکن است با وجود بازیابی، پوشش کامل نداشته باشد؛ به همین دلیل وضعیت اعتماد و منابع پاسخ بخش لازم تجربهٔ کاربر هستند. قابلیت‌های وابسته به سرویس بیرونی، از جمله OCR و مدل زبانی، باید با timeout و پیام خطای قابل اقدام کار کنند تا خطای کوتاه‌مدت به دادهٔ موفق یا پاسخ قطعی تبدیل نشود.</w:t>
      </w:r>
    </w:p>
    <w:p>
      <w:pPr>
        <w:spacing w:after="0" w:line="372" w:lineRule="auto"/>
        <w:jc w:val="right"/>
        <w:bidi/>
      </w:pPr>
      <w:r>
        <w:rPr>
          <w:rFonts w:ascii="Aptos" w:hAnsi="Aptos" w:cs="Vazirmatn" w:eastAsia="Vazirmatn"/>
          <w:b w:val="0"/>
          <w:color w:val="202938"/>
          <w:sz w:val="22"/>
        </w:rPr>
        <w:t>این سند مبنای تحلیل، توسعه و آزمون نسخه‌های بعدی است. هر قابلیت جدید باید با شناسهٔ نیازمندی، معیار پذیرش و اثر آن بر امنیت، دسترسی و تجربهٔ فارسی و انگلیسی به‌روزرسانی شود.</w:t>
      </w:r>
    </w:p>
    <w:sectPr w:rsidR="00FC693F" w:rsidRPr="0006063C" w:rsidSect="00034616">
      <w:headerReference w:type="default" r:id="rId9"/>
      <w:footerReference w:type="default" r:id="rId10"/>
      <w:pgSz w:w="12240" w:h="15840"/>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s="Vazirmatn" w:eastAsia="Vazirmatn"/>
        <w:b w:val="0"/>
        <w:color w:val="6B7280"/>
        <w:sz w:val="16"/>
      </w:rPr>
      <w:t>سند داخلی پروژه Nexora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bidi/>
    </w:pPr>
    <w:r>
      <w:rPr>
        <w:rFonts w:ascii="Aptos" w:hAnsi="Aptos" w:cs="Vazirmatn" w:eastAsia="Vazirmatn"/>
        <w:b w:val="0"/>
        <w:color w:val="596579"/>
        <w:sz w:val="17"/>
      </w:rPr>
      <w:t>Nexora  |  مشخصات نیازمندی‌های نرم‌افزار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RSMeta">
    <w:name w:val="SRS Meta"/>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مشخصات نیازمندی‌های نرم‌افزار Nexora</dc:title>
  <dc:subject>SRS سامانه مدیریت دانش و پاسخ‌گویی مبتنی بر RAG</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