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9C6D" w14:textId="77777777" w:rsidR="00E81623" w:rsidRPr="00E81623" w:rsidRDefault="00E81623" w:rsidP="00E81623">
      <w:pPr>
        <w:pStyle w:val="Ttulo3"/>
        <w:spacing w:before="120"/>
        <w:jc w:val="center"/>
        <w:rPr>
          <w:rFonts w:ascii="Verdana" w:hAnsi="Verdana"/>
          <w:caps/>
          <w:color w:val="123A63"/>
          <w:sz w:val="44"/>
          <w:szCs w:val="44"/>
        </w:rPr>
      </w:pPr>
      <w:r w:rsidRPr="00E81623">
        <w:rPr>
          <w:rFonts w:ascii="Verdana" w:hAnsi="Verdana"/>
          <w:b/>
          <w:bCs/>
          <w:caps/>
          <w:color w:val="123A63"/>
          <w:sz w:val="44"/>
          <w:szCs w:val="44"/>
        </w:rPr>
        <w:t>ÍNDICE</w:t>
      </w:r>
    </w:p>
    <w:p w14:paraId="351FF0A4"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8" w:anchor="pr" w:history="1">
        <w:r w:rsidRPr="00E81623">
          <w:rPr>
            <w:rStyle w:val="Hipervnculo"/>
            <w:rFonts w:ascii="Verdana" w:hAnsi="Verdana"/>
            <w:b/>
            <w:bCs/>
            <w:color w:val="123A63"/>
            <w:sz w:val="32"/>
            <w:szCs w:val="32"/>
          </w:rPr>
          <w:t>[Preámbulo]</w:t>
        </w:r>
      </w:hyperlink>
    </w:p>
    <w:p w14:paraId="255FA4C3"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9" w:anchor="ci" w:history="1">
        <w:r w:rsidRPr="00E81623">
          <w:rPr>
            <w:rStyle w:val="Hipervnculo"/>
            <w:rFonts w:ascii="Verdana" w:hAnsi="Verdana"/>
            <w:b/>
            <w:bCs/>
            <w:color w:val="123A63"/>
            <w:sz w:val="32"/>
            <w:szCs w:val="32"/>
          </w:rPr>
          <w:t>CAPÍTULO I. Disposiciones generales</w:t>
        </w:r>
      </w:hyperlink>
    </w:p>
    <w:p w14:paraId="614096DE" w14:textId="77777777" w:rsidR="00E81623" w:rsidRPr="00E81623" w:rsidRDefault="00E81623" w:rsidP="00E81623">
      <w:pPr>
        <w:numPr>
          <w:ilvl w:val="0"/>
          <w:numId w:val="1"/>
        </w:numPr>
        <w:spacing w:beforeAutospacing="1" w:after="0" w:afterAutospacing="1" w:line="240" w:lineRule="auto"/>
        <w:rPr>
          <w:rFonts w:ascii="Verdana" w:hAnsi="Verdana"/>
          <w:color w:val="000000"/>
          <w:sz w:val="28"/>
          <w:szCs w:val="28"/>
        </w:rPr>
      </w:pPr>
      <w:hyperlink r:id="rId10" w:anchor="a1" w:history="1">
        <w:r w:rsidRPr="00E81623">
          <w:rPr>
            <w:rStyle w:val="Hipervnculo"/>
            <w:rFonts w:ascii="Verdana" w:hAnsi="Verdana"/>
            <w:color w:val="123A63"/>
            <w:sz w:val="28"/>
            <w:szCs w:val="28"/>
          </w:rPr>
          <w:t>Artículo 1. Objeto.</w:t>
        </w:r>
      </w:hyperlink>
    </w:p>
    <w:p w14:paraId="05E8AE2D" w14:textId="77777777" w:rsidR="00E81623" w:rsidRPr="00E81623" w:rsidRDefault="00E81623" w:rsidP="00E81623">
      <w:pPr>
        <w:numPr>
          <w:ilvl w:val="0"/>
          <w:numId w:val="1"/>
        </w:numPr>
        <w:spacing w:beforeAutospacing="1" w:after="0" w:afterAutospacing="1" w:line="240" w:lineRule="auto"/>
        <w:rPr>
          <w:rFonts w:ascii="Verdana" w:hAnsi="Verdana"/>
          <w:color w:val="000000"/>
          <w:sz w:val="28"/>
          <w:szCs w:val="28"/>
        </w:rPr>
      </w:pPr>
      <w:hyperlink r:id="rId11" w:anchor="a2" w:history="1">
        <w:r w:rsidRPr="00E81623">
          <w:rPr>
            <w:rStyle w:val="Hipervnculo"/>
            <w:rFonts w:ascii="Verdana" w:hAnsi="Verdana"/>
            <w:color w:val="123A63"/>
            <w:sz w:val="28"/>
            <w:szCs w:val="28"/>
          </w:rPr>
          <w:t>Artículo 2. Ámbito de aplicación.</w:t>
        </w:r>
      </w:hyperlink>
    </w:p>
    <w:p w14:paraId="4A6E9A90" w14:textId="77777777" w:rsidR="00E81623" w:rsidRPr="00E81623" w:rsidRDefault="00E81623" w:rsidP="00E81623">
      <w:pPr>
        <w:numPr>
          <w:ilvl w:val="0"/>
          <w:numId w:val="1"/>
        </w:numPr>
        <w:spacing w:beforeAutospacing="1" w:after="0" w:afterAutospacing="1" w:line="240" w:lineRule="auto"/>
        <w:rPr>
          <w:rFonts w:ascii="Verdana" w:hAnsi="Verdana"/>
          <w:color w:val="000000"/>
          <w:sz w:val="28"/>
          <w:szCs w:val="28"/>
        </w:rPr>
      </w:pPr>
      <w:hyperlink r:id="rId12" w:anchor="a3" w:history="1">
        <w:r w:rsidRPr="00E81623">
          <w:rPr>
            <w:rStyle w:val="Hipervnculo"/>
            <w:rFonts w:ascii="Verdana" w:hAnsi="Verdana"/>
            <w:color w:val="123A63"/>
            <w:sz w:val="28"/>
            <w:szCs w:val="28"/>
          </w:rPr>
          <w:t>Artículo 3. Sistemas de información que traten datos personales.</w:t>
        </w:r>
      </w:hyperlink>
    </w:p>
    <w:p w14:paraId="102C5238" w14:textId="77777777" w:rsidR="00E81623" w:rsidRPr="00E81623" w:rsidRDefault="00E81623" w:rsidP="00E81623">
      <w:pPr>
        <w:numPr>
          <w:ilvl w:val="0"/>
          <w:numId w:val="1"/>
        </w:numPr>
        <w:spacing w:beforeAutospacing="1" w:after="0" w:afterAutospacing="1" w:line="240" w:lineRule="auto"/>
        <w:rPr>
          <w:rFonts w:ascii="Verdana" w:hAnsi="Verdana"/>
          <w:color w:val="000000"/>
          <w:sz w:val="28"/>
          <w:szCs w:val="28"/>
        </w:rPr>
      </w:pPr>
      <w:hyperlink r:id="rId13" w:anchor="a4" w:history="1">
        <w:r w:rsidRPr="00E81623">
          <w:rPr>
            <w:rStyle w:val="Hipervnculo"/>
            <w:rFonts w:ascii="Verdana" w:hAnsi="Verdana"/>
            <w:color w:val="123A63"/>
            <w:sz w:val="28"/>
            <w:szCs w:val="28"/>
          </w:rPr>
          <w:t>Artículo 4. Definiciones.</w:t>
        </w:r>
      </w:hyperlink>
    </w:p>
    <w:p w14:paraId="0F5AE1E6"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14" w:anchor="ci-2" w:history="1">
        <w:r w:rsidRPr="00E81623">
          <w:rPr>
            <w:rStyle w:val="Hipervnculo"/>
            <w:rFonts w:ascii="Verdana" w:hAnsi="Verdana"/>
            <w:b/>
            <w:bCs/>
            <w:color w:val="123A63"/>
            <w:sz w:val="32"/>
            <w:szCs w:val="32"/>
          </w:rPr>
          <w:t>CAPÍTULO II. Principios básicos</w:t>
        </w:r>
      </w:hyperlink>
    </w:p>
    <w:p w14:paraId="2C98E6D5"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15" w:anchor="a5" w:history="1">
        <w:r w:rsidRPr="00E81623">
          <w:rPr>
            <w:rStyle w:val="Hipervnculo"/>
            <w:rFonts w:ascii="Verdana" w:hAnsi="Verdana"/>
            <w:color w:val="123A63"/>
            <w:sz w:val="28"/>
            <w:szCs w:val="28"/>
          </w:rPr>
          <w:t>Artículo 5. Principios básicos del Esquema Nacional de Seguridad.</w:t>
        </w:r>
      </w:hyperlink>
    </w:p>
    <w:p w14:paraId="00DC4EA7"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16" w:anchor="a6" w:history="1">
        <w:r w:rsidRPr="00E81623">
          <w:rPr>
            <w:rStyle w:val="Hipervnculo"/>
            <w:rFonts w:ascii="Verdana" w:hAnsi="Verdana"/>
            <w:color w:val="123A63"/>
            <w:sz w:val="28"/>
            <w:szCs w:val="28"/>
          </w:rPr>
          <w:t>Artículo 6. La seguridad como un proceso integral.</w:t>
        </w:r>
      </w:hyperlink>
    </w:p>
    <w:p w14:paraId="1EC204E8"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17" w:anchor="a7" w:history="1">
        <w:r w:rsidRPr="00E81623">
          <w:rPr>
            <w:rStyle w:val="Hipervnculo"/>
            <w:rFonts w:ascii="Verdana" w:hAnsi="Verdana"/>
            <w:color w:val="123A63"/>
            <w:sz w:val="28"/>
            <w:szCs w:val="28"/>
          </w:rPr>
          <w:t>Artículo 7. Gestión de la seguridad basada en los riesgos.</w:t>
        </w:r>
      </w:hyperlink>
    </w:p>
    <w:p w14:paraId="14430084"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18" w:anchor="a8" w:history="1">
        <w:r w:rsidRPr="00E81623">
          <w:rPr>
            <w:rStyle w:val="Hipervnculo"/>
            <w:rFonts w:ascii="Verdana" w:hAnsi="Verdana"/>
            <w:color w:val="123A63"/>
            <w:sz w:val="28"/>
            <w:szCs w:val="28"/>
          </w:rPr>
          <w:t>Artículo 8. Prevención, detección, respuesta y conservación.</w:t>
        </w:r>
      </w:hyperlink>
    </w:p>
    <w:p w14:paraId="69778AD3"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19" w:anchor="a9" w:history="1">
        <w:r w:rsidRPr="00E81623">
          <w:rPr>
            <w:rStyle w:val="Hipervnculo"/>
            <w:rFonts w:ascii="Verdana" w:hAnsi="Verdana"/>
            <w:color w:val="123A63"/>
            <w:sz w:val="28"/>
            <w:szCs w:val="28"/>
          </w:rPr>
          <w:t>Artículo 9. Existencia de líneas de defensa.</w:t>
        </w:r>
      </w:hyperlink>
    </w:p>
    <w:p w14:paraId="2A15B20F"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20" w:anchor="a1-2" w:history="1">
        <w:r w:rsidRPr="00E81623">
          <w:rPr>
            <w:rStyle w:val="Hipervnculo"/>
            <w:rFonts w:ascii="Verdana" w:hAnsi="Verdana"/>
            <w:color w:val="123A63"/>
            <w:sz w:val="28"/>
            <w:szCs w:val="28"/>
          </w:rPr>
          <w:t>Artículo 10. Vigilancia continua y reevaluación periódica.</w:t>
        </w:r>
      </w:hyperlink>
    </w:p>
    <w:p w14:paraId="1D5CACBD" w14:textId="77777777" w:rsidR="00E81623" w:rsidRPr="00E81623" w:rsidRDefault="00E81623" w:rsidP="00E81623">
      <w:pPr>
        <w:numPr>
          <w:ilvl w:val="0"/>
          <w:numId w:val="2"/>
        </w:numPr>
        <w:spacing w:beforeAutospacing="1" w:after="0" w:afterAutospacing="1" w:line="240" w:lineRule="auto"/>
        <w:rPr>
          <w:rFonts w:ascii="Verdana" w:hAnsi="Verdana"/>
          <w:color w:val="000000"/>
          <w:sz w:val="28"/>
          <w:szCs w:val="28"/>
        </w:rPr>
      </w:pPr>
      <w:hyperlink r:id="rId21" w:anchor="a1-3" w:history="1">
        <w:r w:rsidRPr="00E81623">
          <w:rPr>
            <w:rStyle w:val="Hipervnculo"/>
            <w:rFonts w:ascii="Verdana" w:hAnsi="Verdana"/>
            <w:color w:val="123A63"/>
            <w:sz w:val="28"/>
            <w:szCs w:val="28"/>
          </w:rPr>
          <w:t>Artículo 11. Diferenciación de responsabilidades.</w:t>
        </w:r>
      </w:hyperlink>
    </w:p>
    <w:p w14:paraId="075B867C"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22" w:anchor="ci-3" w:history="1">
        <w:r w:rsidRPr="00E81623">
          <w:rPr>
            <w:rStyle w:val="Hipervnculo"/>
            <w:rFonts w:ascii="Verdana" w:hAnsi="Verdana"/>
            <w:b/>
            <w:bCs/>
            <w:color w:val="123A63"/>
            <w:sz w:val="32"/>
            <w:szCs w:val="32"/>
          </w:rPr>
          <w:t>CAPÍTULO III. Política de seguridad y requisitos mínimos de seguridad</w:t>
        </w:r>
      </w:hyperlink>
    </w:p>
    <w:p w14:paraId="5D4302E2"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3" w:anchor="a1-4" w:history="1">
        <w:r w:rsidRPr="00E81623">
          <w:rPr>
            <w:rStyle w:val="Hipervnculo"/>
            <w:rFonts w:ascii="Verdana" w:hAnsi="Verdana"/>
            <w:color w:val="123A63"/>
            <w:sz w:val="28"/>
            <w:szCs w:val="28"/>
          </w:rPr>
          <w:t>Artículo 12. Política de seguridad y requisitos mínimos de seguridad.</w:t>
        </w:r>
      </w:hyperlink>
    </w:p>
    <w:p w14:paraId="6ED28F03"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4" w:anchor="a1-5" w:history="1">
        <w:r w:rsidRPr="00E81623">
          <w:rPr>
            <w:rStyle w:val="Hipervnculo"/>
            <w:rFonts w:ascii="Verdana" w:hAnsi="Verdana"/>
            <w:color w:val="123A63"/>
            <w:sz w:val="28"/>
            <w:szCs w:val="28"/>
          </w:rPr>
          <w:t>Artículo 13. Organización e implantación del proceso de seguridad.</w:t>
        </w:r>
      </w:hyperlink>
    </w:p>
    <w:p w14:paraId="1EC54A0C"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5" w:anchor="a1-6" w:history="1">
        <w:r w:rsidRPr="00E81623">
          <w:rPr>
            <w:rStyle w:val="Hipervnculo"/>
            <w:rFonts w:ascii="Verdana" w:hAnsi="Verdana"/>
            <w:color w:val="123A63"/>
            <w:sz w:val="28"/>
            <w:szCs w:val="28"/>
          </w:rPr>
          <w:t>Artículo 14. Análisis y gestión de los riesgos.</w:t>
        </w:r>
      </w:hyperlink>
    </w:p>
    <w:p w14:paraId="11B66DD4"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6" w:anchor="a1-7" w:history="1">
        <w:r w:rsidRPr="00E81623">
          <w:rPr>
            <w:rStyle w:val="Hipervnculo"/>
            <w:rFonts w:ascii="Verdana" w:hAnsi="Verdana"/>
            <w:color w:val="123A63"/>
            <w:sz w:val="28"/>
            <w:szCs w:val="28"/>
          </w:rPr>
          <w:t>Artículo 15. Gestión de personal.</w:t>
        </w:r>
      </w:hyperlink>
    </w:p>
    <w:p w14:paraId="1EA00BB9"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7" w:anchor="a1-8" w:history="1">
        <w:r w:rsidRPr="00E81623">
          <w:rPr>
            <w:rStyle w:val="Hipervnculo"/>
            <w:rFonts w:ascii="Verdana" w:hAnsi="Verdana"/>
            <w:color w:val="123A63"/>
            <w:sz w:val="28"/>
            <w:szCs w:val="28"/>
          </w:rPr>
          <w:t>Artículo 16. Profesionalidad.</w:t>
        </w:r>
      </w:hyperlink>
    </w:p>
    <w:p w14:paraId="7CEE8A66"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8" w:anchor="a1-9" w:history="1">
        <w:r w:rsidRPr="00E81623">
          <w:rPr>
            <w:rStyle w:val="Hipervnculo"/>
            <w:rFonts w:ascii="Verdana" w:hAnsi="Verdana"/>
            <w:color w:val="123A63"/>
            <w:sz w:val="28"/>
            <w:szCs w:val="28"/>
          </w:rPr>
          <w:t>Artículo 17. Autorización y control de los accesos.</w:t>
        </w:r>
      </w:hyperlink>
    </w:p>
    <w:p w14:paraId="66407538"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29" w:anchor="a1-10" w:history="1">
        <w:r w:rsidRPr="00E81623">
          <w:rPr>
            <w:rStyle w:val="Hipervnculo"/>
            <w:rFonts w:ascii="Verdana" w:hAnsi="Verdana"/>
            <w:color w:val="123A63"/>
            <w:sz w:val="28"/>
            <w:szCs w:val="28"/>
          </w:rPr>
          <w:t>Artículo 18. Protección de las instalaciones.</w:t>
        </w:r>
      </w:hyperlink>
    </w:p>
    <w:p w14:paraId="51DDE373"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0" w:anchor="a1-11" w:history="1">
        <w:r w:rsidRPr="00E81623">
          <w:rPr>
            <w:rStyle w:val="Hipervnculo"/>
            <w:rFonts w:ascii="Verdana" w:hAnsi="Verdana"/>
            <w:color w:val="123A63"/>
            <w:sz w:val="28"/>
            <w:szCs w:val="28"/>
          </w:rPr>
          <w:t>Artículo 19. Adquisición de productos de seguridad y contratación de servicios de seguridad.</w:t>
        </w:r>
      </w:hyperlink>
    </w:p>
    <w:p w14:paraId="486B8127"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1" w:anchor="a2-2" w:history="1">
        <w:r w:rsidRPr="00E81623">
          <w:rPr>
            <w:rStyle w:val="Hipervnculo"/>
            <w:rFonts w:ascii="Verdana" w:hAnsi="Verdana"/>
            <w:color w:val="123A63"/>
            <w:sz w:val="28"/>
            <w:szCs w:val="28"/>
          </w:rPr>
          <w:t>Artículo 20. Mínimo privilegio.</w:t>
        </w:r>
      </w:hyperlink>
    </w:p>
    <w:p w14:paraId="5F468EDB"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2" w:anchor="a2-3" w:history="1">
        <w:r w:rsidRPr="00E81623">
          <w:rPr>
            <w:rStyle w:val="Hipervnculo"/>
            <w:rFonts w:ascii="Verdana" w:hAnsi="Verdana"/>
            <w:color w:val="123A63"/>
            <w:sz w:val="28"/>
            <w:szCs w:val="28"/>
          </w:rPr>
          <w:t>Artículo 21. Integridad y actualización del sistema.</w:t>
        </w:r>
      </w:hyperlink>
    </w:p>
    <w:p w14:paraId="30E351A9"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3" w:anchor="a2-4" w:history="1">
        <w:r w:rsidRPr="00E81623">
          <w:rPr>
            <w:rStyle w:val="Hipervnculo"/>
            <w:rFonts w:ascii="Verdana" w:hAnsi="Verdana"/>
            <w:color w:val="123A63"/>
            <w:sz w:val="28"/>
            <w:szCs w:val="28"/>
          </w:rPr>
          <w:t>Artículo 22. Protección de información almacenada y en tránsito.</w:t>
        </w:r>
      </w:hyperlink>
    </w:p>
    <w:p w14:paraId="1BC07BAA"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4" w:anchor="a2-5" w:history="1">
        <w:r w:rsidRPr="00E81623">
          <w:rPr>
            <w:rStyle w:val="Hipervnculo"/>
            <w:rFonts w:ascii="Verdana" w:hAnsi="Verdana"/>
            <w:color w:val="123A63"/>
            <w:sz w:val="28"/>
            <w:szCs w:val="28"/>
          </w:rPr>
          <w:t>Artículo 23. Prevención ante otros sistemas de información interconectados.</w:t>
        </w:r>
      </w:hyperlink>
    </w:p>
    <w:p w14:paraId="4254F63C"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5" w:anchor="a2-6" w:history="1">
        <w:r w:rsidRPr="00E81623">
          <w:rPr>
            <w:rStyle w:val="Hipervnculo"/>
            <w:rFonts w:ascii="Verdana" w:hAnsi="Verdana"/>
            <w:color w:val="123A63"/>
            <w:sz w:val="28"/>
            <w:szCs w:val="28"/>
          </w:rPr>
          <w:t>Artículo 24. Registro de actividad y detección de código dañino.</w:t>
        </w:r>
      </w:hyperlink>
    </w:p>
    <w:p w14:paraId="50772E98"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6" w:anchor="a2-7" w:history="1">
        <w:r w:rsidRPr="00E81623">
          <w:rPr>
            <w:rStyle w:val="Hipervnculo"/>
            <w:rFonts w:ascii="Verdana" w:hAnsi="Verdana"/>
            <w:color w:val="123A63"/>
            <w:sz w:val="28"/>
            <w:szCs w:val="28"/>
          </w:rPr>
          <w:t>Artículo 25. Incidentes de seguridad.</w:t>
        </w:r>
      </w:hyperlink>
    </w:p>
    <w:p w14:paraId="07434C0C"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7" w:anchor="a2-8" w:history="1">
        <w:r w:rsidRPr="00E81623">
          <w:rPr>
            <w:rStyle w:val="Hipervnculo"/>
            <w:rFonts w:ascii="Verdana" w:hAnsi="Verdana"/>
            <w:color w:val="123A63"/>
            <w:sz w:val="28"/>
            <w:szCs w:val="28"/>
          </w:rPr>
          <w:t>Artículo 26. Continuidad de la actividad.</w:t>
        </w:r>
      </w:hyperlink>
    </w:p>
    <w:p w14:paraId="3BC91F22"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8" w:anchor="a2-9" w:history="1">
        <w:r w:rsidRPr="00E81623">
          <w:rPr>
            <w:rStyle w:val="Hipervnculo"/>
            <w:rFonts w:ascii="Verdana" w:hAnsi="Verdana"/>
            <w:color w:val="123A63"/>
            <w:sz w:val="28"/>
            <w:szCs w:val="28"/>
          </w:rPr>
          <w:t>Artículo 27. Mejora continua del proceso de seguridad.</w:t>
        </w:r>
      </w:hyperlink>
    </w:p>
    <w:p w14:paraId="2DBC2CBA"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39" w:anchor="a2-10" w:history="1">
        <w:r w:rsidRPr="00E81623">
          <w:rPr>
            <w:rStyle w:val="Hipervnculo"/>
            <w:rFonts w:ascii="Verdana" w:hAnsi="Verdana"/>
            <w:color w:val="123A63"/>
            <w:sz w:val="28"/>
            <w:szCs w:val="28"/>
          </w:rPr>
          <w:t>Artículo 28. Cumplimiento de los requisitos mínimos.</w:t>
        </w:r>
      </w:hyperlink>
    </w:p>
    <w:p w14:paraId="270C9917"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40" w:anchor="a2-11" w:history="1">
        <w:r w:rsidRPr="00E81623">
          <w:rPr>
            <w:rStyle w:val="Hipervnculo"/>
            <w:rFonts w:ascii="Verdana" w:hAnsi="Verdana"/>
            <w:color w:val="123A63"/>
            <w:sz w:val="28"/>
            <w:szCs w:val="28"/>
          </w:rPr>
          <w:t>Artículo 29. Infraestructuras y servicios comunes.</w:t>
        </w:r>
      </w:hyperlink>
    </w:p>
    <w:p w14:paraId="2959BFB4" w14:textId="77777777" w:rsidR="00E81623" w:rsidRPr="00E81623" w:rsidRDefault="00E81623" w:rsidP="00E81623">
      <w:pPr>
        <w:numPr>
          <w:ilvl w:val="0"/>
          <w:numId w:val="3"/>
        </w:numPr>
        <w:spacing w:beforeAutospacing="1" w:after="0" w:afterAutospacing="1" w:line="240" w:lineRule="auto"/>
        <w:rPr>
          <w:rFonts w:ascii="Verdana" w:hAnsi="Verdana"/>
          <w:color w:val="000000"/>
          <w:sz w:val="28"/>
          <w:szCs w:val="28"/>
        </w:rPr>
      </w:pPr>
      <w:hyperlink r:id="rId41" w:anchor="a3-2" w:history="1">
        <w:r w:rsidRPr="00E81623">
          <w:rPr>
            <w:rStyle w:val="Hipervnculo"/>
            <w:rFonts w:ascii="Verdana" w:hAnsi="Verdana"/>
            <w:color w:val="123A63"/>
            <w:sz w:val="28"/>
            <w:szCs w:val="28"/>
          </w:rPr>
          <w:t>Artículo 30. Perfiles de cumplimiento específicos y acreditación de entidades de implementación de configuraciones seguras.</w:t>
        </w:r>
      </w:hyperlink>
    </w:p>
    <w:p w14:paraId="731C26A4"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42" w:anchor="ci-4" w:history="1">
        <w:r w:rsidRPr="00E81623">
          <w:rPr>
            <w:rStyle w:val="Hipervnculo"/>
            <w:rFonts w:ascii="Verdana" w:hAnsi="Verdana"/>
            <w:b/>
            <w:bCs/>
            <w:color w:val="123A63"/>
            <w:sz w:val="32"/>
            <w:szCs w:val="32"/>
          </w:rPr>
          <w:t>CAPÍTULO IV. Seguridad de los sistemas: auditoría, informe e incidentes de seguridad</w:t>
        </w:r>
      </w:hyperlink>
    </w:p>
    <w:p w14:paraId="1A036202" w14:textId="77777777" w:rsidR="00E81623" w:rsidRPr="00E81623" w:rsidRDefault="00E81623" w:rsidP="00E81623">
      <w:pPr>
        <w:numPr>
          <w:ilvl w:val="0"/>
          <w:numId w:val="4"/>
        </w:numPr>
        <w:spacing w:beforeAutospacing="1" w:after="0" w:afterAutospacing="1" w:line="240" w:lineRule="auto"/>
        <w:rPr>
          <w:rFonts w:ascii="Verdana" w:hAnsi="Verdana"/>
          <w:color w:val="000000"/>
          <w:sz w:val="28"/>
          <w:szCs w:val="28"/>
        </w:rPr>
      </w:pPr>
      <w:hyperlink r:id="rId43" w:anchor="a3-3" w:history="1">
        <w:r w:rsidRPr="00E81623">
          <w:rPr>
            <w:rStyle w:val="Hipervnculo"/>
            <w:rFonts w:ascii="Verdana" w:hAnsi="Verdana"/>
            <w:color w:val="123A63"/>
            <w:sz w:val="28"/>
            <w:szCs w:val="28"/>
          </w:rPr>
          <w:t>Artículo 31. Auditoría de la seguridad.</w:t>
        </w:r>
      </w:hyperlink>
    </w:p>
    <w:p w14:paraId="0ED3A718" w14:textId="77777777" w:rsidR="00E81623" w:rsidRPr="00E81623" w:rsidRDefault="00E81623" w:rsidP="00E81623">
      <w:pPr>
        <w:numPr>
          <w:ilvl w:val="0"/>
          <w:numId w:val="4"/>
        </w:numPr>
        <w:spacing w:beforeAutospacing="1" w:after="0" w:afterAutospacing="1" w:line="240" w:lineRule="auto"/>
        <w:rPr>
          <w:rFonts w:ascii="Verdana" w:hAnsi="Verdana"/>
          <w:color w:val="000000"/>
          <w:sz w:val="28"/>
          <w:szCs w:val="28"/>
        </w:rPr>
      </w:pPr>
      <w:hyperlink r:id="rId44" w:anchor="a3-4" w:history="1">
        <w:r w:rsidRPr="00E81623">
          <w:rPr>
            <w:rStyle w:val="Hipervnculo"/>
            <w:rFonts w:ascii="Verdana" w:hAnsi="Verdana"/>
            <w:color w:val="123A63"/>
            <w:sz w:val="28"/>
            <w:szCs w:val="28"/>
          </w:rPr>
          <w:t>Artículo 32. Informe del estado de la seguridad.</w:t>
        </w:r>
      </w:hyperlink>
    </w:p>
    <w:p w14:paraId="68BDF851" w14:textId="77777777" w:rsidR="00E81623" w:rsidRPr="00E81623" w:rsidRDefault="00E81623" w:rsidP="00E81623">
      <w:pPr>
        <w:numPr>
          <w:ilvl w:val="0"/>
          <w:numId w:val="4"/>
        </w:numPr>
        <w:spacing w:beforeAutospacing="1" w:after="0" w:afterAutospacing="1" w:line="240" w:lineRule="auto"/>
        <w:rPr>
          <w:rFonts w:ascii="Verdana" w:hAnsi="Verdana"/>
          <w:color w:val="000000"/>
          <w:sz w:val="28"/>
          <w:szCs w:val="28"/>
        </w:rPr>
      </w:pPr>
      <w:hyperlink r:id="rId45" w:anchor="a3-5" w:history="1">
        <w:r w:rsidRPr="00E81623">
          <w:rPr>
            <w:rStyle w:val="Hipervnculo"/>
            <w:rFonts w:ascii="Verdana" w:hAnsi="Verdana"/>
            <w:color w:val="123A63"/>
            <w:sz w:val="28"/>
            <w:szCs w:val="28"/>
          </w:rPr>
          <w:t>Artículo 33. Capacidad de respuesta a incidentes de seguridad.</w:t>
        </w:r>
      </w:hyperlink>
    </w:p>
    <w:p w14:paraId="5AEC28E5" w14:textId="77777777" w:rsidR="00E81623" w:rsidRPr="00E81623" w:rsidRDefault="00E81623" w:rsidP="00E81623">
      <w:pPr>
        <w:numPr>
          <w:ilvl w:val="0"/>
          <w:numId w:val="4"/>
        </w:numPr>
        <w:spacing w:beforeAutospacing="1" w:after="0" w:afterAutospacing="1" w:line="240" w:lineRule="auto"/>
        <w:rPr>
          <w:rFonts w:ascii="Verdana" w:hAnsi="Verdana"/>
          <w:color w:val="000000"/>
          <w:sz w:val="28"/>
          <w:szCs w:val="28"/>
        </w:rPr>
      </w:pPr>
      <w:hyperlink r:id="rId46" w:anchor="a3-6" w:history="1">
        <w:r w:rsidRPr="00E81623">
          <w:rPr>
            <w:rStyle w:val="Hipervnculo"/>
            <w:rFonts w:ascii="Verdana" w:hAnsi="Verdana"/>
            <w:color w:val="123A63"/>
            <w:sz w:val="28"/>
            <w:szCs w:val="28"/>
          </w:rPr>
          <w:t>Artículo 34. Prestación de servicios de respuesta a incidentes de seguridad a las entidades del sector público.</w:t>
        </w:r>
      </w:hyperlink>
    </w:p>
    <w:p w14:paraId="30E9C17E"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47" w:anchor="cv" w:history="1">
        <w:r w:rsidRPr="00E81623">
          <w:rPr>
            <w:rStyle w:val="Hipervnculo"/>
            <w:rFonts w:ascii="Verdana" w:hAnsi="Verdana"/>
            <w:b/>
            <w:bCs/>
            <w:color w:val="123A63"/>
            <w:sz w:val="32"/>
            <w:szCs w:val="32"/>
          </w:rPr>
          <w:t>CAPÍTULO V. Normas de conformidad</w:t>
        </w:r>
      </w:hyperlink>
    </w:p>
    <w:p w14:paraId="12B0D29F" w14:textId="77777777" w:rsidR="00E81623" w:rsidRPr="00E81623" w:rsidRDefault="00E81623" w:rsidP="00E81623">
      <w:pPr>
        <w:numPr>
          <w:ilvl w:val="0"/>
          <w:numId w:val="5"/>
        </w:numPr>
        <w:spacing w:beforeAutospacing="1" w:after="0" w:afterAutospacing="1" w:line="240" w:lineRule="auto"/>
        <w:rPr>
          <w:rFonts w:ascii="Verdana" w:hAnsi="Verdana"/>
          <w:color w:val="000000"/>
          <w:sz w:val="28"/>
          <w:szCs w:val="28"/>
        </w:rPr>
      </w:pPr>
      <w:hyperlink r:id="rId48" w:anchor="a3-7" w:history="1">
        <w:r w:rsidRPr="00E81623">
          <w:rPr>
            <w:rStyle w:val="Hipervnculo"/>
            <w:rFonts w:ascii="Verdana" w:hAnsi="Verdana"/>
            <w:color w:val="123A63"/>
            <w:sz w:val="28"/>
            <w:szCs w:val="28"/>
          </w:rPr>
          <w:t>Artículo 35. Administración digital.</w:t>
        </w:r>
      </w:hyperlink>
    </w:p>
    <w:p w14:paraId="248CDB0E" w14:textId="77777777" w:rsidR="00E81623" w:rsidRPr="00E81623" w:rsidRDefault="00E81623" w:rsidP="00E81623">
      <w:pPr>
        <w:numPr>
          <w:ilvl w:val="0"/>
          <w:numId w:val="5"/>
        </w:numPr>
        <w:spacing w:beforeAutospacing="1" w:after="0" w:afterAutospacing="1" w:line="240" w:lineRule="auto"/>
        <w:rPr>
          <w:rFonts w:ascii="Verdana" w:hAnsi="Verdana"/>
          <w:color w:val="000000"/>
          <w:sz w:val="28"/>
          <w:szCs w:val="28"/>
        </w:rPr>
      </w:pPr>
      <w:hyperlink r:id="rId49" w:anchor="a3-8" w:history="1">
        <w:r w:rsidRPr="00E81623">
          <w:rPr>
            <w:rStyle w:val="Hipervnculo"/>
            <w:rFonts w:ascii="Verdana" w:hAnsi="Verdana"/>
            <w:color w:val="123A63"/>
            <w:sz w:val="28"/>
            <w:szCs w:val="28"/>
          </w:rPr>
          <w:t>Artículo 36. Ciclo de vida de servicios y sistemas.</w:t>
        </w:r>
      </w:hyperlink>
    </w:p>
    <w:p w14:paraId="4ABC71E4" w14:textId="77777777" w:rsidR="00E81623" w:rsidRPr="00E81623" w:rsidRDefault="00E81623" w:rsidP="00E81623">
      <w:pPr>
        <w:numPr>
          <w:ilvl w:val="0"/>
          <w:numId w:val="5"/>
        </w:numPr>
        <w:spacing w:beforeAutospacing="1" w:after="0" w:afterAutospacing="1" w:line="240" w:lineRule="auto"/>
        <w:rPr>
          <w:rFonts w:ascii="Verdana" w:hAnsi="Verdana"/>
          <w:color w:val="000000"/>
          <w:sz w:val="28"/>
          <w:szCs w:val="28"/>
        </w:rPr>
      </w:pPr>
      <w:hyperlink r:id="rId50" w:anchor="a3-9" w:history="1">
        <w:r w:rsidRPr="00E81623">
          <w:rPr>
            <w:rStyle w:val="Hipervnculo"/>
            <w:rFonts w:ascii="Verdana" w:hAnsi="Verdana"/>
            <w:color w:val="123A63"/>
            <w:sz w:val="28"/>
            <w:szCs w:val="28"/>
          </w:rPr>
          <w:t>Artículo 37. Mecanismos de control.</w:t>
        </w:r>
      </w:hyperlink>
    </w:p>
    <w:p w14:paraId="3A6A0E72" w14:textId="77777777" w:rsidR="00E81623" w:rsidRPr="00E81623" w:rsidRDefault="00E81623" w:rsidP="00E81623">
      <w:pPr>
        <w:numPr>
          <w:ilvl w:val="0"/>
          <w:numId w:val="5"/>
        </w:numPr>
        <w:spacing w:beforeAutospacing="1" w:after="0" w:afterAutospacing="1" w:line="240" w:lineRule="auto"/>
        <w:rPr>
          <w:rFonts w:ascii="Verdana" w:hAnsi="Verdana"/>
          <w:color w:val="000000"/>
          <w:sz w:val="28"/>
          <w:szCs w:val="28"/>
        </w:rPr>
      </w:pPr>
      <w:hyperlink r:id="rId51" w:anchor="a3-10" w:history="1">
        <w:r w:rsidRPr="00E81623">
          <w:rPr>
            <w:rStyle w:val="Hipervnculo"/>
            <w:rFonts w:ascii="Verdana" w:hAnsi="Verdana"/>
            <w:color w:val="123A63"/>
            <w:sz w:val="28"/>
            <w:szCs w:val="28"/>
          </w:rPr>
          <w:t>Artículo 38. Procedimientos de determinación de la conformidad con el Esquema Nacional de Seguridad.</w:t>
        </w:r>
      </w:hyperlink>
    </w:p>
    <w:p w14:paraId="11B9045B"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52" w:anchor="cv-2" w:history="1">
        <w:r w:rsidRPr="00E81623">
          <w:rPr>
            <w:rStyle w:val="Hipervnculo"/>
            <w:rFonts w:ascii="Verdana" w:hAnsi="Verdana"/>
            <w:b/>
            <w:bCs/>
            <w:color w:val="123A63"/>
            <w:sz w:val="32"/>
            <w:szCs w:val="32"/>
          </w:rPr>
          <w:t>CAPÍTULO VI. Actualización del Esquema Nacional de Seguridad</w:t>
        </w:r>
      </w:hyperlink>
    </w:p>
    <w:p w14:paraId="01E8E1D7" w14:textId="77777777" w:rsidR="00E81623" w:rsidRPr="00E81623" w:rsidRDefault="00E81623" w:rsidP="00E81623">
      <w:pPr>
        <w:numPr>
          <w:ilvl w:val="0"/>
          <w:numId w:val="6"/>
        </w:numPr>
        <w:spacing w:beforeAutospacing="1" w:after="0" w:afterAutospacing="1" w:line="240" w:lineRule="auto"/>
        <w:rPr>
          <w:rFonts w:ascii="Verdana" w:hAnsi="Verdana"/>
          <w:color w:val="000000"/>
          <w:sz w:val="28"/>
          <w:szCs w:val="28"/>
        </w:rPr>
      </w:pPr>
      <w:hyperlink r:id="rId53" w:anchor="a3-11" w:history="1">
        <w:r w:rsidRPr="00E81623">
          <w:rPr>
            <w:rStyle w:val="Hipervnculo"/>
            <w:rFonts w:ascii="Verdana" w:hAnsi="Verdana"/>
            <w:color w:val="123A63"/>
            <w:sz w:val="28"/>
            <w:szCs w:val="28"/>
          </w:rPr>
          <w:t>Artículo 39. Actualización permanente.</w:t>
        </w:r>
      </w:hyperlink>
    </w:p>
    <w:p w14:paraId="5E2CB338"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54" w:anchor="cv-3" w:history="1">
        <w:r w:rsidRPr="00E81623">
          <w:rPr>
            <w:rStyle w:val="Hipervnculo"/>
            <w:rFonts w:ascii="Verdana" w:hAnsi="Verdana"/>
            <w:b/>
            <w:bCs/>
            <w:color w:val="123A63"/>
            <w:sz w:val="32"/>
            <w:szCs w:val="32"/>
          </w:rPr>
          <w:t>CAPÍTULO VII. Categorización de los sistemas de información</w:t>
        </w:r>
      </w:hyperlink>
    </w:p>
    <w:p w14:paraId="73E45B70" w14:textId="77777777" w:rsidR="00E81623" w:rsidRPr="00E81623" w:rsidRDefault="00E81623" w:rsidP="00E81623">
      <w:pPr>
        <w:numPr>
          <w:ilvl w:val="0"/>
          <w:numId w:val="7"/>
        </w:numPr>
        <w:spacing w:beforeAutospacing="1" w:after="0" w:afterAutospacing="1" w:line="240" w:lineRule="auto"/>
        <w:rPr>
          <w:rFonts w:ascii="Verdana" w:hAnsi="Verdana"/>
          <w:color w:val="000000"/>
          <w:sz w:val="28"/>
          <w:szCs w:val="28"/>
        </w:rPr>
      </w:pPr>
      <w:hyperlink r:id="rId55" w:anchor="a4-2" w:history="1">
        <w:r w:rsidRPr="00E81623">
          <w:rPr>
            <w:rStyle w:val="Hipervnculo"/>
            <w:rFonts w:ascii="Verdana" w:hAnsi="Verdana"/>
            <w:color w:val="123A63"/>
            <w:sz w:val="28"/>
            <w:szCs w:val="28"/>
          </w:rPr>
          <w:t>Artículo 40. Categorías de seguridad.</w:t>
        </w:r>
      </w:hyperlink>
    </w:p>
    <w:p w14:paraId="1A94BE58" w14:textId="77777777" w:rsidR="00E81623" w:rsidRPr="00E81623" w:rsidRDefault="00E81623" w:rsidP="00E81623">
      <w:pPr>
        <w:numPr>
          <w:ilvl w:val="0"/>
          <w:numId w:val="7"/>
        </w:numPr>
        <w:spacing w:beforeAutospacing="1" w:after="0" w:afterAutospacing="1" w:line="240" w:lineRule="auto"/>
        <w:rPr>
          <w:rFonts w:ascii="Verdana" w:hAnsi="Verdana"/>
          <w:color w:val="000000"/>
          <w:sz w:val="28"/>
          <w:szCs w:val="28"/>
        </w:rPr>
      </w:pPr>
      <w:hyperlink r:id="rId56" w:anchor="a4-3" w:history="1">
        <w:r w:rsidRPr="00E81623">
          <w:rPr>
            <w:rStyle w:val="Hipervnculo"/>
            <w:rFonts w:ascii="Verdana" w:hAnsi="Verdana"/>
            <w:color w:val="123A63"/>
            <w:sz w:val="28"/>
            <w:szCs w:val="28"/>
          </w:rPr>
          <w:t>Artículo 41. Facultades.</w:t>
        </w:r>
      </w:hyperlink>
    </w:p>
    <w:p w14:paraId="5756E3C0"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57" w:anchor="da" w:history="1">
        <w:r w:rsidRPr="00E81623">
          <w:rPr>
            <w:rStyle w:val="Hipervnculo"/>
            <w:rFonts w:ascii="Verdana" w:hAnsi="Verdana"/>
            <w:b/>
            <w:bCs/>
            <w:color w:val="123A63"/>
            <w:sz w:val="32"/>
            <w:szCs w:val="32"/>
          </w:rPr>
          <w:t>[Disposiciones adicionales]</w:t>
        </w:r>
      </w:hyperlink>
    </w:p>
    <w:p w14:paraId="3B6C15EA" w14:textId="77777777" w:rsidR="00E81623" w:rsidRPr="00E81623" w:rsidRDefault="00E81623" w:rsidP="00E81623">
      <w:pPr>
        <w:numPr>
          <w:ilvl w:val="0"/>
          <w:numId w:val="8"/>
        </w:numPr>
        <w:spacing w:beforeAutospacing="1" w:after="0" w:afterAutospacing="1" w:line="240" w:lineRule="auto"/>
        <w:rPr>
          <w:rFonts w:ascii="Verdana" w:hAnsi="Verdana"/>
          <w:color w:val="000000"/>
          <w:sz w:val="28"/>
          <w:szCs w:val="28"/>
        </w:rPr>
      </w:pPr>
      <w:hyperlink r:id="rId58" w:anchor="da" w:history="1">
        <w:r w:rsidRPr="00E81623">
          <w:rPr>
            <w:rStyle w:val="Hipervnculo"/>
            <w:rFonts w:ascii="Verdana" w:hAnsi="Verdana"/>
            <w:color w:val="123A63"/>
            <w:sz w:val="28"/>
            <w:szCs w:val="28"/>
          </w:rPr>
          <w:t>Disposición adicional primera. Formación.</w:t>
        </w:r>
      </w:hyperlink>
    </w:p>
    <w:p w14:paraId="3C9191B1" w14:textId="77777777" w:rsidR="00E81623" w:rsidRPr="00E81623" w:rsidRDefault="00E81623" w:rsidP="00E81623">
      <w:pPr>
        <w:numPr>
          <w:ilvl w:val="0"/>
          <w:numId w:val="8"/>
        </w:numPr>
        <w:spacing w:beforeAutospacing="1" w:after="0" w:afterAutospacing="1" w:line="240" w:lineRule="auto"/>
        <w:rPr>
          <w:rFonts w:ascii="Verdana" w:hAnsi="Verdana"/>
          <w:color w:val="000000"/>
          <w:sz w:val="28"/>
          <w:szCs w:val="28"/>
        </w:rPr>
      </w:pPr>
      <w:hyperlink r:id="rId59" w:anchor="da-2" w:history="1">
        <w:r w:rsidRPr="00E81623">
          <w:rPr>
            <w:rStyle w:val="Hipervnculo"/>
            <w:rFonts w:ascii="Verdana" w:hAnsi="Verdana"/>
            <w:color w:val="123A63"/>
            <w:sz w:val="28"/>
            <w:szCs w:val="28"/>
          </w:rPr>
          <w:t>Disposición adicional segunda. Desarrollo del Esquema Nacional de Seguridad.</w:t>
        </w:r>
      </w:hyperlink>
    </w:p>
    <w:p w14:paraId="378F0B6B" w14:textId="77777777" w:rsidR="00E81623" w:rsidRPr="00E81623" w:rsidRDefault="00E81623" w:rsidP="00E81623">
      <w:pPr>
        <w:numPr>
          <w:ilvl w:val="0"/>
          <w:numId w:val="8"/>
        </w:numPr>
        <w:spacing w:beforeAutospacing="1" w:after="0" w:afterAutospacing="1" w:line="240" w:lineRule="auto"/>
        <w:rPr>
          <w:rFonts w:ascii="Verdana" w:hAnsi="Verdana"/>
          <w:color w:val="000000"/>
          <w:sz w:val="28"/>
          <w:szCs w:val="28"/>
        </w:rPr>
      </w:pPr>
      <w:hyperlink r:id="rId60" w:anchor="da-3" w:history="1">
        <w:r w:rsidRPr="00E81623">
          <w:rPr>
            <w:rStyle w:val="Hipervnculo"/>
            <w:rFonts w:ascii="Verdana" w:hAnsi="Verdana"/>
            <w:color w:val="123A63"/>
            <w:sz w:val="28"/>
            <w:szCs w:val="28"/>
          </w:rPr>
          <w:t>Disposición adicional tercera. Respeto del principio de «no causar un perjuicio significativo» al medioambiente.</w:t>
        </w:r>
      </w:hyperlink>
    </w:p>
    <w:p w14:paraId="05B5D2BA"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61" w:anchor="dt" w:history="1">
        <w:r w:rsidRPr="00E81623">
          <w:rPr>
            <w:rStyle w:val="Hipervnculo"/>
            <w:rFonts w:ascii="Verdana" w:hAnsi="Verdana"/>
            <w:b/>
            <w:bCs/>
            <w:color w:val="123A63"/>
            <w:sz w:val="32"/>
            <w:szCs w:val="32"/>
          </w:rPr>
          <w:t>[Disposiciones transitorias]</w:t>
        </w:r>
      </w:hyperlink>
    </w:p>
    <w:p w14:paraId="2B61EEA8" w14:textId="20565F0A" w:rsidR="00E81623" w:rsidRDefault="00E81623" w:rsidP="00E81623">
      <w:pPr>
        <w:numPr>
          <w:ilvl w:val="0"/>
          <w:numId w:val="9"/>
        </w:numPr>
        <w:spacing w:beforeAutospacing="1" w:after="0" w:afterAutospacing="1" w:line="240" w:lineRule="auto"/>
        <w:rPr>
          <w:rFonts w:ascii="Verdana" w:hAnsi="Verdana"/>
          <w:color w:val="000000"/>
          <w:sz w:val="28"/>
          <w:szCs w:val="28"/>
        </w:rPr>
      </w:pPr>
      <w:hyperlink r:id="rId62" w:anchor="dt" w:history="1">
        <w:r w:rsidRPr="00E81623">
          <w:rPr>
            <w:rStyle w:val="Hipervnculo"/>
            <w:rFonts w:ascii="Verdana" w:hAnsi="Verdana"/>
            <w:color w:val="123A63"/>
            <w:sz w:val="28"/>
            <w:szCs w:val="28"/>
          </w:rPr>
          <w:t>Disposición transitoria única. Adecuación de sistemas.</w:t>
        </w:r>
      </w:hyperlink>
    </w:p>
    <w:p w14:paraId="2C88BDFA" w14:textId="77777777" w:rsidR="00234A65" w:rsidRPr="00E81623" w:rsidRDefault="00234A65" w:rsidP="00234A65">
      <w:pPr>
        <w:spacing w:beforeAutospacing="1" w:after="0" w:afterAutospacing="1" w:line="240" w:lineRule="auto"/>
        <w:ind w:left="720"/>
        <w:rPr>
          <w:rFonts w:ascii="Verdana" w:hAnsi="Verdana"/>
          <w:color w:val="000000"/>
          <w:sz w:val="28"/>
          <w:szCs w:val="28"/>
        </w:rPr>
      </w:pPr>
    </w:p>
    <w:p w14:paraId="670D68A3"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63" w:anchor="dd" w:history="1">
        <w:r w:rsidRPr="00E81623">
          <w:rPr>
            <w:rStyle w:val="Hipervnculo"/>
            <w:rFonts w:ascii="Verdana" w:hAnsi="Verdana"/>
            <w:b/>
            <w:bCs/>
            <w:color w:val="123A63"/>
            <w:sz w:val="32"/>
            <w:szCs w:val="32"/>
          </w:rPr>
          <w:t>[Disposiciones derogatorias]</w:t>
        </w:r>
      </w:hyperlink>
    </w:p>
    <w:p w14:paraId="08742B9B" w14:textId="77777777" w:rsidR="00E81623" w:rsidRPr="00E81623" w:rsidRDefault="00E81623" w:rsidP="00E81623">
      <w:pPr>
        <w:numPr>
          <w:ilvl w:val="0"/>
          <w:numId w:val="10"/>
        </w:numPr>
        <w:spacing w:beforeAutospacing="1" w:after="0" w:afterAutospacing="1" w:line="240" w:lineRule="auto"/>
        <w:rPr>
          <w:rFonts w:ascii="Verdana" w:hAnsi="Verdana"/>
          <w:color w:val="000000"/>
          <w:sz w:val="28"/>
          <w:szCs w:val="28"/>
        </w:rPr>
      </w:pPr>
      <w:hyperlink r:id="rId64" w:anchor="dd" w:history="1">
        <w:r w:rsidRPr="00E81623">
          <w:rPr>
            <w:rStyle w:val="Hipervnculo"/>
            <w:rFonts w:ascii="Verdana" w:hAnsi="Verdana"/>
            <w:color w:val="123A63"/>
            <w:sz w:val="28"/>
            <w:szCs w:val="28"/>
          </w:rPr>
          <w:t>Disposición derogatoria única. Derogación normativa.</w:t>
        </w:r>
      </w:hyperlink>
    </w:p>
    <w:p w14:paraId="6BB98C7B" w14:textId="77777777" w:rsidR="00E81623" w:rsidRPr="00E81623" w:rsidRDefault="00E81623" w:rsidP="00E81623">
      <w:pPr>
        <w:pStyle w:val="NormalWeb"/>
        <w:spacing w:before="0" w:beforeAutospacing="0" w:after="0" w:afterAutospacing="0"/>
        <w:rPr>
          <w:rFonts w:ascii="Verdana" w:hAnsi="Verdana"/>
          <w:b/>
          <w:bCs/>
          <w:color w:val="000000"/>
          <w:sz w:val="32"/>
          <w:szCs w:val="32"/>
        </w:rPr>
      </w:pPr>
      <w:hyperlink r:id="rId65" w:anchor="df" w:history="1">
        <w:r w:rsidRPr="00E81623">
          <w:rPr>
            <w:rStyle w:val="Hipervnculo"/>
            <w:rFonts w:ascii="Verdana" w:hAnsi="Verdana"/>
            <w:b/>
            <w:bCs/>
            <w:color w:val="123A63"/>
            <w:sz w:val="32"/>
            <w:szCs w:val="32"/>
          </w:rPr>
          <w:t>[Disposiciones finales]</w:t>
        </w:r>
      </w:hyperlink>
    </w:p>
    <w:p w14:paraId="484F4D35" w14:textId="77777777" w:rsidR="00E81623" w:rsidRPr="00E81623" w:rsidRDefault="00E81623" w:rsidP="00E81623">
      <w:pPr>
        <w:numPr>
          <w:ilvl w:val="0"/>
          <w:numId w:val="11"/>
        </w:numPr>
        <w:spacing w:beforeAutospacing="1" w:after="0" w:afterAutospacing="1" w:line="240" w:lineRule="auto"/>
        <w:rPr>
          <w:rFonts w:ascii="Verdana" w:hAnsi="Verdana"/>
          <w:color w:val="000000"/>
          <w:sz w:val="28"/>
          <w:szCs w:val="28"/>
        </w:rPr>
      </w:pPr>
      <w:hyperlink r:id="rId66" w:anchor="df" w:history="1">
        <w:r w:rsidRPr="00E81623">
          <w:rPr>
            <w:rStyle w:val="Hipervnculo"/>
            <w:rFonts w:ascii="Verdana" w:hAnsi="Verdana"/>
            <w:color w:val="123A63"/>
            <w:sz w:val="28"/>
            <w:szCs w:val="28"/>
          </w:rPr>
          <w:t>Disposición final primera. Títulos competenciales.</w:t>
        </w:r>
      </w:hyperlink>
    </w:p>
    <w:p w14:paraId="2551D448" w14:textId="77777777" w:rsidR="00E81623" w:rsidRPr="00E81623" w:rsidRDefault="00E81623" w:rsidP="00E81623">
      <w:pPr>
        <w:numPr>
          <w:ilvl w:val="0"/>
          <w:numId w:val="11"/>
        </w:numPr>
        <w:spacing w:beforeAutospacing="1" w:after="0" w:afterAutospacing="1" w:line="240" w:lineRule="auto"/>
        <w:rPr>
          <w:rFonts w:ascii="Verdana" w:hAnsi="Verdana"/>
          <w:color w:val="000000"/>
          <w:sz w:val="28"/>
          <w:szCs w:val="28"/>
        </w:rPr>
      </w:pPr>
      <w:hyperlink r:id="rId67" w:anchor="df-2" w:history="1">
        <w:r w:rsidRPr="00E81623">
          <w:rPr>
            <w:rStyle w:val="Hipervnculo"/>
            <w:rFonts w:ascii="Verdana" w:hAnsi="Verdana"/>
            <w:color w:val="123A63"/>
            <w:sz w:val="28"/>
            <w:szCs w:val="28"/>
          </w:rPr>
          <w:t>Disposición final segunda. Desarrollo normativo.</w:t>
        </w:r>
      </w:hyperlink>
    </w:p>
    <w:p w14:paraId="4F498275" w14:textId="77777777" w:rsidR="00E81623" w:rsidRPr="00E81623" w:rsidRDefault="00E81623" w:rsidP="00E81623">
      <w:pPr>
        <w:numPr>
          <w:ilvl w:val="0"/>
          <w:numId w:val="11"/>
        </w:numPr>
        <w:spacing w:beforeAutospacing="1" w:after="0" w:afterAutospacing="1" w:line="240" w:lineRule="auto"/>
        <w:rPr>
          <w:rFonts w:ascii="Verdana" w:hAnsi="Verdana"/>
          <w:color w:val="000000"/>
          <w:sz w:val="28"/>
          <w:szCs w:val="28"/>
        </w:rPr>
      </w:pPr>
      <w:hyperlink r:id="rId68" w:anchor="df-3" w:history="1">
        <w:r w:rsidRPr="00E81623">
          <w:rPr>
            <w:rStyle w:val="Hipervnculo"/>
            <w:rFonts w:ascii="Verdana" w:hAnsi="Verdana"/>
            <w:color w:val="123A63"/>
            <w:sz w:val="28"/>
            <w:szCs w:val="28"/>
          </w:rPr>
          <w:t>Disposición final tercera. Entrada en vigor.</w:t>
        </w:r>
      </w:hyperlink>
    </w:p>
    <w:p w14:paraId="63CE3824" w14:textId="77777777" w:rsidR="00E81623" w:rsidRDefault="00E81623" w:rsidP="00E81623">
      <w:pPr>
        <w:shd w:val="clear" w:color="auto" w:fill="FFFFFF"/>
        <w:spacing w:before="480" w:after="180" w:line="240" w:lineRule="auto"/>
        <w:jc w:val="center"/>
        <w:rPr>
          <w:rFonts w:ascii="Verdana" w:eastAsia="Times New Roman" w:hAnsi="Verdana" w:cs="Times New Roman"/>
          <w:color w:val="000000"/>
          <w:sz w:val="24"/>
          <w:szCs w:val="24"/>
          <w:lang w:eastAsia="es-ES"/>
        </w:rPr>
      </w:pPr>
    </w:p>
    <w:p w14:paraId="0F488D5E" w14:textId="313880A0" w:rsidR="00E81623" w:rsidRDefault="00E81623">
      <w:pPr>
        <w:rPr>
          <w:rFonts w:ascii="Verdana" w:eastAsia="Times New Roman" w:hAnsi="Verdana" w:cs="Times New Roman"/>
          <w:color w:val="000000"/>
          <w:sz w:val="24"/>
          <w:szCs w:val="24"/>
          <w:lang w:eastAsia="es-ES"/>
        </w:rPr>
      </w:pPr>
      <w:r>
        <w:rPr>
          <w:rFonts w:ascii="Verdana" w:eastAsia="Times New Roman" w:hAnsi="Verdana" w:cs="Times New Roman"/>
          <w:color w:val="000000"/>
          <w:sz w:val="24"/>
          <w:szCs w:val="24"/>
          <w:lang w:eastAsia="es-ES"/>
        </w:rPr>
        <w:br w:type="page"/>
      </w:r>
    </w:p>
    <w:p w14:paraId="5FAB4846" w14:textId="77777777" w:rsidR="00E81623" w:rsidRPr="00E81623" w:rsidRDefault="00E81623">
      <w:pPr>
        <w:rPr>
          <w:rFonts w:ascii="Verdana" w:eastAsia="Times New Roman" w:hAnsi="Verdana" w:cs="Times New Roman"/>
          <w:color w:val="000000"/>
          <w:sz w:val="28"/>
          <w:szCs w:val="28"/>
          <w:lang w:eastAsia="es-ES"/>
        </w:rPr>
      </w:pPr>
    </w:p>
    <w:p w14:paraId="27BC82D9" w14:textId="794CB855" w:rsidR="00E81623" w:rsidRPr="00E81623" w:rsidRDefault="00E81623" w:rsidP="00E81623">
      <w:pPr>
        <w:shd w:val="clear" w:color="auto" w:fill="FFFFFF"/>
        <w:spacing w:before="480" w:after="180" w:line="240" w:lineRule="auto"/>
        <w:jc w:val="center"/>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I</w:t>
      </w:r>
    </w:p>
    <w:p w14:paraId="05F47742"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Real Decreto 3/2010, de 8 de enero, por el que se regula el Esquema Nacional de Seguridad en el ámbito de la Administración Electrónica (en adelante, ENS) tenía por objeto determinar la política de seguridad en la utilización de medios electrónicos de las entidades de su ámbito de aplicación, estando constituido por los principios básicos y requisitos mínimos que han venido garantizando adecuadamente la seguridad de la información tratada y los servicios prestados por dichas entidades.</w:t>
      </w:r>
    </w:p>
    <w:p w14:paraId="0E8FC9D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ENS, cuyo ámbito de aplicación comprendía todas las entidades de las administraciones públicas, perseguía fundamentar la confianza en que los sistemas de información prestan sus servicios adecuadamente y custodian la información sin interrupciones o modificaciones fuera de control, y sin que la información pueda llegar a personas no autorizadas, estableciendo medidas para garantizar la seguridad de los sistemas, los datos, las comunicaciones y los servicios electrónicos, de forma que se facilite a los ciudadanos y a las administraciones públicas el ejercicio de sus derechos y el cumplimiento de sus obligaciones a través de medios electrónicos.</w:t>
      </w:r>
    </w:p>
    <w:p w14:paraId="3D3EECA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Desde 2010 se han producido notables cambios en España y en la Unión Europea, incluidos la progresiva transformación digital de nuestra sociedad, el nuevo escenario de la ciberseguridad y el avance de las tecnologías de aplicación. Asimismo, se ha evidenciado que los sistemas de información están expuestos de forma cada vez más intensa a la materialización de amenazas del ciberespacio, advirtiéndose un notable incremento de los ciberataques, tanto en volumen y frecuencia como en sofisticación, con agentes y actores con mayores capacidades técnicas y operativas; amenazas que se producen en un contexto de alta dependencia de las tecnologías de la información y de las comunicaciones en nuestra sociedad y de gran interconexión de los sistemas de información. Todo ello afecta significativamente a un número cada vez mayor de entidades públicas y privadas, a sus cadenas de suministro, a los ciudadanos y, por ende, a la ciberseguridad nacional, lo que compromete el normal desenvolvimiento social y económico del país y el ejercicio de los derechos y libertades de los ciudadanos, como reconocen tanto la Estrategia de Ciberseguridad Nacional de 2013 como, particularmente, la Estrategia Nacional de Ciberseguridad 2019.</w:t>
      </w:r>
    </w:p>
    <w:p w14:paraId="320ADC8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El Real Decreto 3/2010, de 8 de enero, establecía que el ENS debía desarrollarse y perfeccionarse manteniéndose actualizado de forma permanente conforme al progreso de los servicios de la administración </w:t>
      </w:r>
      <w:r w:rsidRPr="00E81623">
        <w:rPr>
          <w:rFonts w:ascii="Verdana" w:eastAsia="Times New Roman" w:hAnsi="Verdana" w:cs="Times New Roman"/>
          <w:color w:val="000000"/>
          <w:sz w:val="28"/>
          <w:szCs w:val="28"/>
          <w:lang w:eastAsia="es-ES"/>
        </w:rPr>
        <w:lastRenderedPageBreak/>
        <w:t>electrónica, de la evolución de la tecnología, de los nuevos estándares internacionales sobre seguridad y auditoría, y la consolidación de las infraestructuras que le sirven de apoyo.</w:t>
      </w:r>
    </w:p>
    <w:p w14:paraId="65BAF08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el plano normativo, acompasado a dichos cambios y en ocasiones como origen de los mismos, desde 2010 se han modificado tanto el marco europeo (con cuatro Reglamentos y una Directiva) como el español, referido a la seguridad nacional, regulación del procedimiento administrativo y el régimen jurídico del sector público, de protección de datos personales y de la seguridad de las redes y sistemas de información, y se ha evolucionado el marco estratégico de la ciberseguridad.</w:t>
      </w:r>
    </w:p>
    <w:p w14:paraId="4FAB0BF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Así, la Ley 36/2015, de 28 de septiembre, de Seguridad Nacional, considera a la ciberseguridad como un ámbito de especial interés de la Seguridad Nacional tal como señala su artículo 10, y que, por ello, requiere una atención específica por resultar básica para preservar los derechos y libertades y el bienestar de los ciudadanos y para garantizar el suministro de los servicios y recursos esenciales. De acuerdo con las previsiones de su artículo 4.3 se aprobó el Real Decreto 1008/2017, de 1 de diciembre, por el que se aprueba la Estrategia de Seguridad Nacional 2017, y posteriormente, el Real Decreto 1150/2021, de 28 de diciembre, por el que se aprueba la Estrategia de Seguridad Nacional 2021, identificando en ambas al ciberespacio como un espacio común global, que la Estrategia 2021 describe como espacio de conexión caracterizado por su apertura funcional, la carencia de fronteras físicas y su fácil accesibilidad, añadiendo que en los espacios comunes globales resulta difícil la atribución de cualquier acción irregular o delictiva, dada su extensión, su débil regulación y la ausencia de soberanía.</w:t>
      </w:r>
    </w:p>
    <w:p w14:paraId="6FF6EC2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otra parte, la Ley 40/2015, de 1 de octubre, de Régimen Jurídico del Sector Público, ha ampliado el ámbito de aplicación del ENS a todo el sector público, estableciendo en su artículo 3, que regula los principios generales, la necesidad de que las administraciones públicas se relacionen entre sí y con sus órganos, organismos públicos y entidades vinculados o dependientes a través de medios electrónicos, que garanticen la interoperabilidad y seguridad de los sistemas y soluciones adoptadas por cada una de ellas y la protección de los datos personales, y faciliten la prestación de servicios a los interesados preferentemente por dichos medios, señalando al ENS como instrumento fundamental para el logro de dichos objetivos en su artículo 156.</w:t>
      </w:r>
    </w:p>
    <w:p w14:paraId="6ECE83C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Asimismo, la Ley 39/2015, de 1 de octubre, del Procedimiento Administrativo Común de las Administraciones Públicas, entre los derechos de las personas en sus relaciones con las administraciones públicas previstos en el artículo 13 incluye el relativo a la protección de los datos </w:t>
      </w:r>
      <w:r w:rsidRPr="00E81623">
        <w:rPr>
          <w:rFonts w:ascii="Verdana" w:eastAsia="Times New Roman" w:hAnsi="Verdana" w:cs="Times New Roman"/>
          <w:color w:val="000000"/>
          <w:sz w:val="28"/>
          <w:szCs w:val="28"/>
          <w:lang w:eastAsia="es-ES"/>
        </w:rPr>
        <w:lastRenderedPageBreak/>
        <w:t>personales y, en particular, el derecho a la seguridad de los datos que figuren en los ficheros, sistemas y aplicaciones de las administraciones públicas.</w:t>
      </w:r>
    </w:p>
    <w:p w14:paraId="03A38EE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desarrollo de las dos leyes anteriores, el Real Decreto 203/2021, de 30 de marzo, por el que se aprueba el Reglamento de actuación y funcionamiento del sector público por medios electrónicos, concreta en diferentes preceptos la obligación del cumplimiento de las medidas de seguridad previstas en el ENS, como los referidos al intercambio electrónico de datos en entornos cerrados de comunicación, los sistemas de clave concertada y otros sistemas de identificación de las personas interesadas, el archivo electrónico único o los portales de internet, entre otros.</w:t>
      </w:r>
    </w:p>
    <w:p w14:paraId="34AE847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Coincidente en el tiempo con la aprobación de las tres leyes mencionadas, el Real Decreto 951/2015, de 23 de octubre, de modificación del Real Decreto 3/2010, de 8 de enero, por el que se regula el Esquema Nacional de Seguridad en el ámbito de la Administración Electrónica, actualizó el ENS a la luz de la experiencia y conocimiento en su aplicación, de la situación de la ciberseguridad del momento, y de la evolución del marco legal, para adecuarse a lo previsto en el Reglamento (UE) n.º 910/2014, del Parlamento Europeo y del Consejo, de 23 de julio de 2014, relativo a la identificación electrónica y los servicios de confianza para las transacciones electrónicas en el mercado interior y por el que se deroga la Directiva 1999/93/CE (conocido como «Reglamento eIDAS»).</w:t>
      </w:r>
    </w:p>
    <w:p w14:paraId="261BD04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Con relación a las medidas de seguridad del ENS en el tratamiento de datos personales, la Ley Orgánica 3/2018, de 5 de diciembre, de Protección de Datos Personales y garantía de los derechos digitales, ordenó en su disposición adicional primera que dichas medidas de seguridad se implanten en caso de tratamiento de datos personales para evitar su pérdida, alteración o acceso no autorizado, adaptando los criterios de determinación del riesgo en el tratamiento de los datos a lo establecido en el artículo 32 del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De otra parte, la disposición adicional primera también prescribe la implantación de las medidas de seguridad del ENS a las entidades del sector público y a las del sector privado que colaboren con estas en la prestación de servicios públicos que involucren el tratamiento de datos personales. Por último, y en el mismo sentido, la Ley Orgánica 7/2021, de 26 de mayo, de protección de datos personales tratados para fines de prevención, detección, investigación y enjuiciamiento de infracciones penales y de ejecución de sanciones </w:t>
      </w:r>
      <w:r w:rsidRPr="00E81623">
        <w:rPr>
          <w:rFonts w:ascii="Verdana" w:eastAsia="Times New Roman" w:hAnsi="Verdana" w:cs="Times New Roman"/>
          <w:color w:val="000000"/>
          <w:sz w:val="28"/>
          <w:szCs w:val="28"/>
          <w:lang w:eastAsia="es-ES"/>
        </w:rPr>
        <w:lastRenderedPageBreak/>
        <w:t>penales, ha establecido en su artículo 37 la obligación de aplicar las medidas del ENS a los tratamientos de datos personales por parte de las autoridades públicas competentes.</w:t>
      </w:r>
    </w:p>
    <w:p w14:paraId="1412C70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otra parte, con relación a la seguridad de redes y sistemas de información, desde la entrada en vigor del Real Decreto 3/2010, de 8 de enero, se han aprobado en la Unión Europea dos Reglamentos y una Directiva que han fijado el marco de actuación en los ordenamientos nacionales.</w:t>
      </w:r>
    </w:p>
    <w:p w14:paraId="2F69519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Así, en primer lugar, el Reglamento (UE) N.º 526/2013 del Parlamento Europeo y del Consejo de 21 de mayo de 2013 relativo a la Agencia de Seguridad de las Redes de la Información de la Unión Europea (ENISA) y por el que se deroga el Reglamento (CE) N.º 460/2004. En segundo lugar, el Reglamento (UE) 2019/881 del Parlamento Europeo y del Consejo, de 17 de abril de 2019, relativo a ENISA (Agencia de la Unión Europea para la Ciberseguridad) y a la certificación de la ciberseguridad de las tecnologías de la información y la comunicación y por el que se deroga el Reglamento (UE) n.º 526/2013 («Reglamento sobre la Ciberseguridad»).</w:t>
      </w:r>
    </w:p>
    <w:p w14:paraId="766B309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tercer lugar, la Directiva (UE) 2016/1148 del Parlamento Europeo y del Consejo, de 6 de julio de 2016, relativa a las medidas destinadas a garantizar un elevado nivel común de seguridad de las redes y sistemas de información en la Unión, conocida como «Directiva NIS (</w:t>
      </w:r>
      <w:r w:rsidRPr="00E81623">
        <w:rPr>
          <w:rFonts w:ascii="Verdana" w:eastAsia="Times New Roman" w:hAnsi="Verdana" w:cs="Times New Roman"/>
          <w:i/>
          <w:iCs/>
          <w:color w:val="000000"/>
          <w:sz w:val="28"/>
          <w:szCs w:val="28"/>
          <w:lang w:eastAsia="es-ES"/>
        </w:rPr>
        <w:t>Security of Network and Information Systems)</w:t>
      </w:r>
      <w:r w:rsidRPr="00E81623">
        <w:rPr>
          <w:rFonts w:ascii="Verdana" w:eastAsia="Times New Roman" w:hAnsi="Verdana" w:cs="Times New Roman"/>
          <w:color w:val="000000"/>
          <w:sz w:val="28"/>
          <w:szCs w:val="28"/>
          <w:lang w:eastAsia="es-ES"/>
        </w:rPr>
        <w:t>», que ha sido objeto de transposición en España por medio del Real Decreto-ley 12/2018, de 7 de septiembre, de seguridad de las redes y sistemas de información, señalando la necesidad de tener en cuenta el ENS en el momento de elaborar las disposiciones reglamentarias, instrucciones y guías, y adoptar las medidas aplicables a entidades del ámbito de aplicación de este. Este Real Decreto-ley 12/2018, de 7 de septiembre, ha sido desarrollado por el Real Decreto 43/2021, de 26 de enero, en lo relativo al marco estratégico e institucional de seguridad de las redes y sistemas de información, la supervisión del cumplimiento de las obligaciones de seguridad de los operadores de servicios esenciales y de los proveedores de servicios digitales, y la gestión de incidentes de seguridad. Así, el Real Decreto 43/2021, de 26 de enero, establece que las medidas para el cumplimiento de las obligaciones de seguridad de los operadores de servicios esenciales y de los proveedores de servicios digitales tomarán como referencia las recogidas en el anexo II del Real Decreto 3/2010, de 8 de enero.</w:t>
      </w:r>
    </w:p>
    <w:p w14:paraId="0933256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Tal como estableció la Estrategia de Seguridad Nacional de 2017, España precisa garantizar un uso seguro y responsable de las redes y sistemas de información y comunicaciones a través del fortalecimiento de las capacidades de prevención, detección y respuesta a los ciberataques </w:t>
      </w:r>
      <w:r w:rsidRPr="00E81623">
        <w:rPr>
          <w:rFonts w:ascii="Verdana" w:eastAsia="Times New Roman" w:hAnsi="Verdana" w:cs="Times New Roman"/>
          <w:color w:val="000000"/>
          <w:sz w:val="28"/>
          <w:szCs w:val="28"/>
          <w:lang w:eastAsia="es-ES"/>
        </w:rPr>
        <w:lastRenderedPageBreak/>
        <w:t>potenciando y adoptando medidas específicas para contribuir a la promoción de un ciberespacio seguro y fiable. En este sentido, el Consejo de Seguridad Nacional aprobó el 12 de abril de 2019 la Estrategia Nacional de Ciberseguridad 2019, publicada por Orden PCI/487/2019, de 26 de abril, con el propósito de fijar las directrices generales en el ámbito de la ciberseguridad de manera que se alcanzasen los objetivos previstos en la Estrategia de Seguridad Nacional de 2017.</w:t>
      </w:r>
    </w:p>
    <w:p w14:paraId="0A2EF50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Estrategia Nacional de Ciberseguridad 2019, contiene un objetivo general y cinco objetivos específicos, y, para alcanzarlos, se proponen siete líneas de acción con un total de 65 medidas. El primero de estos objetivos es la seguridad y resiliencia de las redes y sistemas de información y comunicaciones del sector público y de los servicios esenciales y se desarrolla a través de dos líneas de acción y veinticuatro medidas específicas entre las que figura la de asegurar la plena implantación del Esquema Nacional de Seguridad. Para desarrollar esta Estrategia, el Consejo de Ministros ha aprobado el 29 de marzo de 2022 el Plan Nacional de Ciberseguridad, que prevé cerca de 150 iniciativas, entre actuaciones y proyectos, para los próximos tres años.</w:t>
      </w:r>
    </w:p>
    <w:p w14:paraId="4679E24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Asimismo, la Estrategia Nacional de Ciberseguridad 2019 señala entre sus objetivos la consolidación de un marco nacional coherente e integrado que garantice la protección de la información y de los datos personales tratados por los sistemas y redes del sector público y de los servicios, sean o no esenciales, recogiendo que su cumplimiento requiere la implantación de medidas de seguridad enfocadas a mejorar las capacidades de prevención, detección y respuesta ante incidentes, mediante el desarrollo de nuevas soluciones, y el refuerzo de la coordinación y la adaptación del ordenamiento jurídico.</w:t>
      </w:r>
    </w:p>
    <w:p w14:paraId="4CE9CEF9" w14:textId="77777777" w:rsidR="00E81623" w:rsidRPr="00E81623" w:rsidRDefault="00E81623" w:rsidP="00E81623">
      <w:pPr>
        <w:shd w:val="clear" w:color="auto" w:fill="FFFFFF"/>
        <w:spacing w:before="480" w:after="180" w:line="240" w:lineRule="auto"/>
        <w:jc w:val="center"/>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II</w:t>
      </w:r>
    </w:p>
    <w:p w14:paraId="40B60DDC"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evolución de las amenazas, los nuevos vectores de ataque, el desarrollo de modernos mecanismos de respuesta y la necesidad de mantener la conformidad y el alineamiento con las regulaciones europeas y nacionales de aplicación, exigen adaptar las medidas de seguridad a esta nueva realidad. Fortalecer la ciberseguridad demanda recursos económicos, humanos y tecnológicos que se han de dimensionar atendiendo al principio de proporcionalidad y al nivel de seguridad requerido, de acuerdo con una adecuada planificación y contando con la participación de los agentes involucrados, según una dinámica de mejora continua adaptativa.</w:t>
      </w:r>
    </w:p>
    <w:p w14:paraId="233E7DE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Por ello, en un mundo hiperconectado como el actual, implementar la seguridad en el ciberespacio se ha convertido en una prioridad estratégica. Sin embargo, el riesgo en el ciberespacio es demasiado grande para que el sector público o las empresas lo aborden por sí solos, pues ambos comparten el interés y la responsabilidad de enfrentar juntos ese reto. A medida que aumenta el papel de la tecnología en la sociedad, la ciberseguridad se convierte en un desafío cada vez mayor.</w:t>
      </w:r>
    </w:p>
    <w:p w14:paraId="2F6FC2C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De hecho, el pasado 9 de marzo, el Parlamento Europeo ha aprobado por amplísima mayoría una Resolución sobre injerencias extranjeras en todos los procesos democráticos de la Unión Europea, en particular la desinformación. Tal como señala dicha Resolución en sus considerandos, las injerencias extranjeras constituyen un patrón de conducta que amenaza o afecta negativamente a valores, procedimientos democráticos, procesos políticos, la seguridad de Estados y ciudadanos y la capacidad de hacer frente a situaciones excepcionales. Las tácticas de injerencia extranjera, que se combinan a menudo para tener un mayor efecto, adoptan, entre otras formas, los ciberataques, la asunción del control de infraestructuras críticas, la desinformación, supresión de información, manipulación de plataformas de redes sociales y de sus algoritmos, operaciones de pirateo y filtración, amenazas y acoso para acceder a información sobre los votantes e interferir en la legitimidad del proceso electoral, personalidades e identidades falsas, ejercicio de presiones sobre ciudadanos extranjeros que viven en la Unión, instrumentalización de migrantes y espionaje.</w:t>
      </w:r>
    </w:p>
    <w:p w14:paraId="6D8F51C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Al tiempo que el escenario descrito ha venido consolidándose, se ha ido extendiendo la implantación del ENS, resultando de ello una mayor experiencia acumulada sobre su aplicación, a la vez que un mejor conocimiento de la situación gracias a las sucesivas ediciones del Informe Nacional del Estado de la Seguridad (INES), del cuerpo de guías de seguridad CCN-STIC y de los servicios y herramientas proporcionados por la capacidad de respuesta a incidentes de seguridad de la información, el CCN-CERT, del Centro Criptológico Nacional (CCN).</w:t>
      </w:r>
    </w:p>
    <w:p w14:paraId="2E41668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definitiva, por todas las razones anteriormente expuestas es necesario actualizar el ENS para cumplir tres grandes objetivos.</w:t>
      </w:r>
    </w:p>
    <w:p w14:paraId="1E07596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En primer lugar, alinear el ENS con el marco normativo y el contexto estratégico existente para garantizar la seguridad en la administración digital. Se trata de reflejar con claridad el ámbito de aplicación del ENS en beneficio de la ciberseguridad y de los derechos de los ciudadanos, así como de actualizar las referencias al marco legal vigente y de revisar la formulación de ciertas cuestiones a la luz de éste, conforme a la Estrategia Nacional de Ciberseguridad 2019 y el Plan Nacional de Ciberseguridad, de </w:t>
      </w:r>
      <w:r w:rsidRPr="00E81623">
        <w:rPr>
          <w:rFonts w:ascii="Verdana" w:eastAsia="Times New Roman" w:hAnsi="Verdana" w:cs="Times New Roman"/>
          <w:color w:val="000000"/>
          <w:sz w:val="28"/>
          <w:szCs w:val="28"/>
          <w:lang w:eastAsia="es-ES"/>
        </w:rPr>
        <w:lastRenderedPageBreak/>
        <w:t>forma que se logre simplificar, precisar o armonizar los mandatos del ENS, eliminar aspectos que puedan considerarse excesivos, o añadir aquellos otros que se identifican como necesarios.</w:t>
      </w:r>
    </w:p>
    <w:p w14:paraId="1AFEABA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segundo lugar, introducir la capacidad de ajustar los requisitos del ENS, para garantizar su adaptación a la realidad de ciertos colectivos o tipos de sistemas, atendiendo a la semejanza que presentan una multiplicidad de entidades o servicios en cuanto a los riesgos a los que están expuestos sus sistemas de información y sus servicios. Ello aconseja la inclusión en el ENS del concepto de «perfil de cumplimiento específico» que, aprobado por el Centro Criptológico Nacional, permita alcanzar una adaptación del ENS más eficaz y eficiente, racionalizando los recursos requeridos sin menoscabo de la protección perseguida y exigible.</w:t>
      </w:r>
    </w:p>
    <w:p w14:paraId="370AEAB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tercer lugar, facilitar una mejor respuesta a las tendencias en ciberseguridad, reducir vulnerabilidades y promover la vigilancia continua mediante la revisión de los principios básicos, de los requisitos mínimos y de las medidas de seguridad.</w:t>
      </w:r>
    </w:p>
    <w:p w14:paraId="38DB8DA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último, la aprobación de este real decreto se incardina también en la ejecución del Plan de Digitalización de las Administraciones Públicas 2021-2025, uno de los instrumentos principales para el cumplimiento del Plan de Recuperación, Transformación y Resiliencia y su Componente 11 denominado «Modernización de las Administraciones Públicas», así como para el desarrollo de las inversiones y reformas previstas en la agenda España Digital 2025. Dicho Plan de Digitalización contempla expresamente, entre sus reformas, la actualización del ENS con el fin de hacer evolucionar la política de seguridad de todas las entidades del sector público español, tomando en cuenta las regulaciones de la Unión Europea dirigidas a incrementar el nivel de ciberseguridad de los sistemas de información. Dicha reforma se ve complementada con la constitución del Centro de Operaciones de Ciberseguridad de la Administración General del Estado y sus Organismos Públicos que servirá de referencia para las demás administraciones públicas y contribuirá a mejorar el cumplimiento del ENS de las entidades en su alcance de servicio. Esta previsión ha sido respaldada por el Acuerdo de Consejo de Ministros de 25 de mayo de 2021 sobre actuaciones urgentes en materia de ciberseguridad que mandata la tramitación y aprobación de un real decreto que sustituya al Real Decreto 3/2010, de 8 de enero, como medida de refuerzo del marco normativo.</w:t>
      </w:r>
    </w:p>
    <w:p w14:paraId="59D52BD5" w14:textId="77777777" w:rsidR="00E81623" w:rsidRPr="00E81623" w:rsidRDefault="00E81623" w:rsidP="00E81623">
      <w:pPr>
        <w:shd w:val="clear" w:color="auto" w:fill="FFFFFF"/>
        <w:spacing w:before="480" w:after="180" w:line="240" w:lineRule="auto"/>
        <w:jc w:val="center"/>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III</w:t>
      </w:r>
    </w:p>
    <w:p w14:paraId="61FF7C1E"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El real decreto se estructura en cuarenta y un artículos distribuidos en siete capítulos, tres disposiciones adicionales, una disposición transitoria, una disposición derogatoria, tres disposiciones finales y cuatro anexos.</w:t>
      </w:r>
    </w:p>
    <w:p w14:paraId="214980C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capítulo I comprende las disposiciones generales que regulan el objeto de la norma, su ámbito de aplicación, la referencia a los sistemas de información que traten datos personales y las definiciones aplicables. El ámbito de aplicación es el previsto en el artículo 2 de la Ley 40/2015, de 1 de octubre, al que se añaden los sistemas que tratan información clasificada, sin perjuicio de la normativa que resulte de aplicación, pudiendo resultar necesario complementar las medidas de seguridad de este real decreto con otras específicas para tales sistemas, derivadas de los compromisos internacionales contraídos por España o su pertenencia a organismos o foros internacionales en la materia. Asimismo los requisitos del ENS serán de aplicación a los sistemas de información de las entidades del sector privado, cuando de acuerdo con la normativa aplicable y en virtud de una relación contractual presten servicios a las entidades del sector público para el ejercicio por estas de sus competencias y potestades administrativas. Como se ha señalado anteriormente, considerando que la transformación digital ha supuesto un incremento de los riesgos asociados a los sistemas de información que sustentan los servicios públicos y que el sector privado se encuentra igualmente inmerso en la transformación digital de sus procesos de negocio, ambos tipos de sistemas de información se encuentran expuestos al mismo tipo de amenazas y riesgos. Por ello, los operadores del sector privado que prestan servicios a las entidades del sector público, por razón de la alta imbricación de unos y otras, han de garantizar el mismo nivel de seguridad que se aplica a los sistemas y a la información en el ámbito del sector público, todo ello de conformidad, además, con los especiales requerimientos establecidos tanto en la Ley Orgánica 3/2018, de 5 de diciembre, como en la Ley Orgánica 7/2021, de 26 de mayo. Por otra parte, 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1BDD87F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El capítulo II, que comprende los artículos 5 a 11, regula los principios básicos que deben regir el ENS y que enumera en su artículo 5: seguridad integral; gestión de la seguridad basada en los riesgos; prevención, detección, respuesta y conservación; existencia de líneas de defensa; </w:t>
      </w:r>
      <w:r w:rsidRPr="00E81623">
        <w:rPr>
          <w:rFonts w:ascii="Verdana" w:eastAsia="Times New Roman" w:hAnsi="Verdana" w:cs="Times New Roman"/>
          <w:color w:val="000000"/>
          <w:sz w:val="28"/>
          <w:szCs w:val="28"/>
          <w:lang w:eastAsia="es-ES"/>
        </w:rPr>
        <w:lastRenderedPageBreak/>
        <w:t>vigilancia continua y reevaluación periódica; y diferenciación de responsabilidades.</w:t>
      </w:r>
    </w:p>
    <w:p w14:paraId="1CB5E16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capítulo III se refiere a la Política de Seguridad y los requisitos mínimos para permitir una protección adecuada de la información y los servicios. En los artículos 12 a 27 se definen tales requisitos: organización e implantación del proceso de seguridad; gestión de riesgos, consistente en un proceso de identificación, análisis, evaluación y tratamiento de los mismos; gestión de personal; profesionalidad; autorización y control de los accesos; protección de las instalaciones; adquisición de productos de seguridad y contratación de servicios de seguridad; mínimo privilegio; integridad y actualización del sistema; protección de la información almacenada y en tránsito; prevención ante otros sistemas de información interconectados; registro de la actividad y detección de código dañino; incidentes de seguridad; continuidad de la actividad; y mejora continua del proceso de seguridad. Seguidamente, el artículo 28 indica que para el cumplimiento de tales requisitos mínimos deberán adoptarse las medidas recogidas en el anexo II, conforme a una serie de consideraciones al efecto. No obstante, tales medidas de seguridad podrán ser reemplazadas por otras compensatorias, siempre y cuando se justifique documentalmente que la protección que aportan es, al menos, equivalente, y satisfacen los principios básicos y requisitos mínimos indicados previamente. En el artículo 29 se hace un llamamiento a la utilización de infraestructuras y servicios comunes de las administraciones públicas en aras de lograr una mayor eficiencia y retroalimentación de las sinergias de cada colectivo. Por último, el artículo 30 establece la posibilidad de implementar perfiles de cumplimiento específicos, así como esquemas de acreditación de entidades de implementación de configuraciones seguras.</w:t>
      </w:r>
    </w:p>
    <w:p w14:paraId="0894072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capítulo IV versa sobre la auditoría de la seguridad, el informe del estado de la seguridad y la respuesta a incidentes de seguridad. La auditoría de la seguridad se desarrolla íntegramente en el artículo 31, detallando las características del procedimiento de auditoría, así como de los correspondientes informes. Por su parte, el artículo 32, relativo al informe del estado de la seguridad, destaca el papel de la Comisión Sectorial de Administración Electrónica en este ámbito, así como del CCN y los órganos colegiados competentes en el ámbito de la administración digital en la Administración General del Estado.</w:t>
      </w:r>
    </w:p>
    <w:p w14:paraId="31E23C0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prevención, detección y respuesta a incidentes de seguridad se regula en los artículos 33 y 34, separando, por un lado, los aspectos relativos a la capacidad de respuesta y, por otro, los relativo a la prestación de los servicios de respuesta a incidentes de seguridad, tanto a las entidades del Sector Público como a las organizaciones del sector privado que les presten servicios.</w:t>
      </w:r>
    </w:p>
    <w:p w14:paraId="4F24C2F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En el capítulo V, artículos 35 a 38, se definen las normas de conformidad, que se concretan en cuatro: Administración Digital, ciclo de vida de servicios y sistemas, mecanismos de control y procedimientos de determinación de la conformidad con el ENS.</w:t>
      </w:r>
    </w:p>
    <w:p w14:paraId="5059287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su parte, el capítulo VI, compuesto por su único artículo, el 39, establece la obligación de actualización permanente, de acuerdo con el marco jurídico vigente en cada momento, la evolución de la tecnología y los estándares en materia de seguridad y sistemas, así como de las ya mencionadas nuevas amenazas y vectores de ataque.</w:t>
      </w:r>
    </w:p>
    <w:p w14:paraId="0772652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Concluye el articulado de la parte dispositiva con el capítulo VII, que desarrolla el procedimiento de categorización de los sistemas de información, definiendo en el artículo 40 las categorías de seguridad y en el artículo 41 las facultades al respecto.</w:t>
      </w:r>
    </w:p>
    <w:p w14:paraId="4A9F4FA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cuanto a las tres disposiciones adicionales, la primera regula los programas de sensibilización, concienciación y formación, dirigidos al personal de las entidades del sector público que desarrollarán el CCN y el Instituto Nacional de Administración Pública.</w:t>
      </w:r>
    </w:p>
    <w:p w14:paraId="5CC076C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segunda disposición adicional regula las instrucciones técnicas de seguridad, de obligado cumplimiento y las guías de seguridad de las tecnologías de la información y la comunicación (guías CCN-STIC).</w:t>
      </w:r>
    </w:p>
    <w:p w14:paraId="5E990BA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último, la tercera disposición adicional establece el cumplimiento del llamado principio de «no causar un perjuicio significativo» al medioambiente (principio DNSH, por sus siglas en inglés, </w:t>
      </w:r>
      <w:r w:rsidRPr="00E81623">
        <w:rPr>
          <w:rFonts w:ascii="Verdana" w:eastAsia="Times New Roman" w:hAnsi="Verdana" w:cs="Times New Roman"/>
          <w:i/>
          <w:iCs/>
          <w:color w:val="000000"/>
          <w:sz w:val="28"/>
          <w:szCs w:val="28"/>
          <w:lang w:eastAsia="es-ES"/>
        </w:rPr>
        <w:t>Do No Significant Harm)</w:t>
      </w:r>
      <w:r w:rsidRPr="00E81623">
        <w:rPr>
          <w:rFonts w:ascii="Verdana" w:eastAsia="Times New Roman" w:hAnsi="Verdana" w:cs="Times New Roman"/>
          <w:color w:val="000000"/>
          <w:sz w:val="28"/>
          <w:szCs w:val="28"/>
          <w:lang w:eastAsia="es-ES"/>
        </w:rPr>
        <w:t> y las condiciones del etiquetado climático y digital.</w:t>
      </w:r>
    </w:p>
    <w:p w14:paraId="3060E65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disposición transitoria única fija un plazo de veinticuatro meses para que los sistemas de información del ámbito de aplicación de este real decreto, preexistentes a su entrada en vigor, alcancen su plena adecuación al ENS.</w:t>
      </w:r>
    </w:p>
    <w:p w14:paraId="1070E42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disposición derogatoria suprime el Real Decreto 3/2010, de 8 de enero, así como cuantas disposiciones de igual o inferior rango se opongan a lo dispuesto en este real decreto.</w:t>
      </w:r>
    </w:p>
    <w:p w14:paraId="55ECA7F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último, la norma cuenta con tres disposiciones finales. La primera de ellas enumera los títulos competenciales; la segunda disposición final habilita a la persona titular del Ministerio de Asuntos Económicos y Transformación Digital para dictar las disposiciones necesarias para la su aplicación y desarrollo, sin perjuicio de las competencias de las comunidades autónomas para el desarrollo y ejecución de la legislación básica del Estado, y la disposición final tercera ordena la entrada en vigor el día siguiente al de su publicación en el «Boletín Oficial del Estado».</w:t>
      </w:r>
    </w:p>
    <w:p w14:paraId="72F5AB9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El real decreto se complementa con cuatro anexos: el anexo I regula las categorías de seguridad de los sistemas de información, detallando la secuencia de actuaciones para determinar la categoría de seguridad de un sistema; el anexo II detalla las medidas de seguridad; el anexo III se ocupa del objeto, niveles e interpretación de la Auditoría de la seguridad y, por último, el anexo IV incluye el glosario de términos y definiciones.</w:t>
      </w:r>
    </w:p>
    <w:p w14:paraId="55C4A46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Con relación, en particular, al anexo II, este detalla las medidas de seguridad estructuradas en tres grupos: el marco organizativo, constituido por el conjunto de medidas relacionadas con la organización global de la seguridad; el marco operacional, formado por las medidas a tomar para proteger la operación del sistema como conjunto integral de componentes para un fin; y las medidas de protección, que se centran en proteger activos concretos, según su naturaleza y la calidad exigida por el nivel de seguridad de las dimensiones afectadas. Como se ha dicho, la modificación del marco táctico y operativo en el que se desenvuelven las ciberamenazas y sus correlativas salvaguardas ha obligado a actualizar el elenco de medidas de seguridad del anexo II, con objeto de añadir, eliminar o modificar controles y sub-controles, al tiempo que se incluye un nuevo sistema de referencias más moderno y adecuado, sobre la base de la existencia de un requisito general y de unos posibles refuerzos, alineados con el nivel de seguridad perseguido. Todo ello se efectúa con el objetivo de afianzar de manera proporcionada la seguridad de los sistemas de información concernidos, y facilitar su implantación y auditoría.</w:t>
      </w:r>
    </w:p>
    <w:p w14:paraId="73E420FD" w14:textId="77777777" w:rsidR="00E81623" w:rsidRPr="00E81623" w:rsidRDefault="00E81623" w:rsidP="00E81623">
      <w:pPr>
        <w:shd w:val="clear" w:color="auto" w:fill="FFFFFF"/>
        <w:spacing w:before="480" w:after="180" w:line="240" w:lineRule="auto"/>
        <w:jc w:val="center"/>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IV</w:t>
      </w:r>
    </w:p>
    <w:p w14:paraId="11D289BE"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real decreto, cuya aprobación está incluida en el Plan Anual Normativo de la Administración General del Estado para el año 2022, se ajusta a los principios de buena regulación contenidos en el artículo 129 de la Ley 39/2015, de 1 de octubre (principios de necesidad, eficacia, proporcionalidad, seguridad jurídica, transparencia y eficiencia).</w:t>
      </w:r>
    </w:p>
    <w:p w14:paraId="54FAED0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Así, la norma es acorde con los principios de necesidad y eficacia en tanto que persigue un interés general al concretar la regulación del ENS desarrollando en este aspecto la Ley 40/2015, de 1 de octubre y otros aspectos concretos de la normativa nacional y de la Unión Europea mencionada en este preámbulo. La norma es también acorde con el principio de proporcionalidad, al contener la regulación imprescindible para la consecución de los objetivos previamente mencionados. Igualmente, se ajusta al principio de seguridad jurídica, siendo coherente con el resto del ordenamiento, estableciéndose un marco normativo estable, integrado y claro. Durante el procedimiento de elaboración de la norma y aún en el contexto de la aplicación de las previsiones del artículo 27 de la Ley </w:t>
      </w:r>
      <w:r w:rsidRPr="00E81623">
        <w:rPr>
          <w:rFonts w:ascii="Verdana" w:eastAsia="Times New Roman" w:hAnsi="Verdana" w:cs="Times New Roman"/>
          <w:color w:val="000000"/>
          <w:sz w:val="28"/>
          <w:szCs w:val="28"/>
          <w:lang w:eastAsia="es-ES"/>
        </w:rPr>
        <w:lastRenderedPageBreak/>
        <w:t>50/1997, de 27 de noviembre, del Gobierno, por tratarse de una tramitación de urgencia acordada por el Consejo de Ministros, se han formalizado los trámites de audiencia e información pública, conforme a lo previsto en el artículo 133 de la Ley 39/2015, de 1 de octubre, y el artículo 26 de la Ley 50/1997, de 27 de noviembre, en cumplimiento del principio de transparencia, quedando además justificados en el preámbulo los objetivos que persigue este real decreto. El proyecto se ha sometido a consulta a las comunidades autónomas y a la Federación Española de Municipios y Provincias a través de la Comisión Sectorial de Administración Electrónica y ha sido informado por la Comisión Nacional de los Mercados y la Competencia A.A.I. y la Agencia Española de Protección de Datos A.A.I.</w:t>
      </w:r>
    </w:p>
    <w:p w14:paraId="396314E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Por último, en virtud del principio de eficiencia la norma no introduce ninguna variación en materia de cargas administrativas, respecto de la normativa que desarrolla.</w:t>
      </w:r>
    </w:p>
    <w:p w14:paraId="2926D8F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real decreto se aprueba en ejercicio de las competencias previstas en los artículos 149.1.18.ª, 149.1.21.ª y 149.1.29.ª de la Constitución, que atribuyen al Estado la competencia exclusiva sobre las bases del régimen jurídico de las administraciones públicas, sobre las telecomunicaciones y sobre la seguridad pública, respectivamente.</w:t>
      </w:r>
    </w:p>
    <w:p w14:paraId="525D26E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su virtud, a propuesta de la Ministra de Asuntos Económicos y Transformación Digital, con la aprobación previa de la Ministra de Hacienda y Función Pública, de acuerdo con el Consejo de Estado, y previa deliberación del Consejo de Ministros en su reunión del día 3 de mayo de 2022,</w:t>
      </w:r>
    </w:p>
    <w:p w14:paraId="5AAB7E0F" w14:textId="77777777" w:rsidR="00E81623" w:rsidRPr="00E81623" w:rsidRDefault="00E81623" w:rsidP="00E81623">
      <w:pPr>
        <w:shd w:val="clear" w:color="auto" w:fill="FFFFFF"/>
        <w:spacing w:before="480" w:after="180" w:line="240" w:lineRule="auto"/>
        <w:jc w:val="center"/>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DISPONGO:</w:t>
      </w:r>
    </w:p>
    <w:p w14:paraId="000FDA1F"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I</w:t>
      </w:r>
    </w:p>
    <w:p w14:paraId="7B2F947A"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Disposiciones generales</w:t>
      </w:r>
    </w:p>
    <w:p w14:paraId="6B5FF585"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 Objeto.</w:t>
      </w:r>
    </w:p>
    <w:p w14:paraId="5B5AD7D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Este real decreto tiene por objeto regular el Esquema Nacional de Seguridad (en adelante, ENS), establecido en el artículo 156.2 de la Ley 40/2015, de 1 de octubre, de Régimen Jurídico del Sector Público.</w:t>
      </w:r>
    </w:p>
    <w:p w14:paraId="47173BE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2. El ENS está constituido por los principios básicos y requisitos mínimos necesarios para una protección adecuada de la información tratada y los servicios prestados por las entidades de su ámbito de aplicación, con objeto de asegurar el acceso, la confidencialidad, la integridad, la trazabilidad, la autenticidad, la disponibilidad y la conservación de los datos, la </w:t>
      </w:r>
      <w:r w:rsidRPr="00E81623">
        <w:rPr>
          <w:rFonts w:ascii="Verdana" w:eastAsia="Times New Roman" w:hAnsi="Verdana" w:cs="Times New Roman"/>
          <w:color w:val="000000"/>
          <w:sz w:val="28"/>
          <w:szCs w:val="28"/>
          <w:lang w:eastAsia="es-ES"/>
        </w:rPr>
        <w:lastRenderedPageBreak/>
        <w:t>información y los servicios utilizados por medios electrónicos que gestionen en el ejercicio de sus competencias.</w:t>
      </w:r>
    </w:p>
    <w:p w14:paraId="6162F7B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Lo dispuesto en este real decreto, por cuanto afecta a los sistemas de información utilizados para la prestación de los servicios públicos, deberá considerarse comprendido en los recursos y procedimientos integrantes del Sistema de Seguridad Nacional recogidos en la Ley 36/2015, de 28 de septiembre, de Seguridad Nacional.</w:t>
      </w:r>
    </w:p>
    <w:p w14:paraId="2CC63B0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 Ámbito de aplicación.</w:t>
      </w:r>
    </w:p>
    <w:p w14:paraId="4BD2D4E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El presente real decreto es de aplicación a todo el sector público, en los términos en que este se define por el artículo 2 de la Ley 40/2015, de 1 de octubre, y de acuerdo con lo previsto en el artículo 156.2 de la misma.</w:t>
      </w:r>
    </w:p>
    <w:p w14:paraId="723DA01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Asimismo, sin perjuicio de la aplicación de la Ley 9/1968, de 5 de abril, de Secretos Oficiales y otra normativa especial, este real decreto será de aplicación a los sistemas que tratan información clasificada, pudiendo resultar necesario adoptar medidas complementarias de seguridad, específicas para dichos sistemas, derivadas de los compromisos internacionales contraídos por España o de su pertenencia a organismos o foros internacionales.</w:t>
      </w:r>
    </w:p>
    <w:p w14:paraId="41328E5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Este real decreto también se aplica a los sistemas de información de las entidades del sector privado, incluida la obligación de contar con la política de seguridad a que se refiere el artículo 12, cuando, de acuerdo con la normativa aplicable y en virtud de una relación contractual, presten servicios o provean soluciones a las entidades del sector público para el ejercicio por estas de sus competencias y potestades administrativas.</w:t>
      </w:r>
    </w:p>
    <w:p w14:paraId="4B8B2AE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política de seguridad a que se refiere el artículo 12 será aprobada en el caso de estas entidades por el órgano que ostente las máximas competencias ejecutivas.</w:t>
      </w:r>
    </w:p>
    <w:p w14:paraId="34FA639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Los pliegos de prescripciones administrativas o técnicas de los contratos que celebren las entidades del sector público incluidas en el ámbito de aplicación de este real decreto contemplarán todos aquellos requisitos necesarios para asegurar la conformidad con el ENS de los sistemas de información en los que se sustenten los servicios prestados por los contratistas, tales como la presentación de las correspondientes Declaraciones o Certificaciones de Conformidad con el ENS.</w:t>
      </w:r>
    </w:p>
    <w:p w14:paraId="04CC93F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Esta cautela se extenderá también a la cadena de suministro de dichos contratistas, en la medida que sea necesario y de acuerdo con los resultados del correspondiente análisis de riesgos.</w:t>
      </w:r>
    </w:p>
    <w:p w14:paraId="3755565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4. 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5FDDA80F"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 Sistemas de información que traten datos personales.</w:t>
      </w:r>
    </w:p>
    <w:p w14:paraId="5585359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Cuando un sistema de información trate datos personales le será de aplicación lo dispuesto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y en la Ley Orgánica 3/2018, de 5 de diciembre, de Protección de Datos Personales y garantía de los derechos digitales, o, en su caso, la Ley Orgánica 7/2021, de 26 de mayo, de protección de datos personales tratados para fines de prevención, detección, investigación y enjuiciamiento de infracciones penales y de ejecución de sanciones penales, el resto de normativa de aplicación, así como los criterios que se establezcan por la Agencia Española de Protección de Datos o en su ámbito competencial, por las autoridades autonómicas de protección de datos, sin perjuicio de los requisitos establecidos en el presente real decreto.</w:t>
      </w:r>
    </w:p>
    <w:p w14:paraId="7265E28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En estos supuestos, el responsable o el encargado del tratamiento, asesorado por el delegado de protección de datos, realizarán un análisis de riesgos conforme al artículo 24 del Reglamento General de Protección de Datos y, en los supuestos de su artículo 35, una evaluación de impacto en la protección de datos.</w:t>
      </w:r>
    </w:p>
    <w:p w14:paraId="49AF6A5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En todo caso, prevalecerán las medidas a implantar como consecuencia del análisis de riesgos y, en su caso, de la evaluación de impacto a los que se refiere el apartado anterior, en caso de resultar agravadas respecto de las previstas en el presente real decreto.</w:t>
      </w:r>
    </w:p>
    <w:p w14:paraId="698F98FE"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4. Definiciones.</w:t>
      </w:r>
    </w:p>
    <w:p w14:paraId="44ED3F1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los efectos previstos en este real decreto, las definiciones, palabras, expresiones y términos han de ser entendidos en el sentido indicado en el Glosario de términos incluido en el anexo IV.</w:t>
      </w:r>
    </w:p>
    <w:p w14:paraId="5C9AF228"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II</w:t>
      </w:r>
    </w:p>
    <w:p w14:paraId="3F48D255"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lastRenderedPageBreak/>
        <w:t>Principios básicos</w:t>
      </w:r>
    </w:p>
    <w:p w14:paraId="67B9CCA3"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5. Principios básicos del Esquema Nacional de Seguridad.</w:t>
      </w:r>
    </w:p>
    <w:p w14:paraId="5DEC672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objeto último de la seguridad de la información es garantizar que una organización podrá cumplir sus objetivos, desarrollar sus funciones y ejercer sus competencias utilizando sistemas de información. Por ello, en materia de seguridad de la información deberán tenerse en cuenta los siguientes principios básicos:</w:t>
      </w:r>
    </w:p>
    <w:p w14:paraId="513EFAA5"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Seguridad como proceso integral.</w:t>
      </w:r>
    </w:p>
    <w:p w14:paraId="782268D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Gestión de la seguridad basada en los riesgos.</w:t>
      </w:r>
    </w:p>
    <w:p w14:paraId="5B1D560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Prevención, detección, respuesta y conservación.</w:t>
      </w:r>
    </w:p>
    <w:p w14:paraId="0F7A148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Existencia de líneas de defensa.</w:t>
      </w:r>
    </w:p>
    <w:p w14:paraId="597130B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 Vigilancia continua.</w:t>
      </w:r>
    </w:p>
    <w:p w14:paraId="6665C6F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f) Reevaluación periódica.</w:t>
      </w:r>
    </w:p>
    <w:p w14:paraId="6990168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g) Diferenciación de responsabilidades.</w:t>
      </w:r>
    </w:p>
    <w:p w14:paraId="57BD167A"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6. La seguridad como un proceso integral.</w:t>
      </w:r>
    </w:p>
    <w:p w14:paraId="0C14339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seguridad se entiende como un proceso integral constituido por todos los elementos humanos, materiales, técnicos, jurídicos y organizativos relacionados con el sistema de información. La aplicación del ENS estará presidida por este principio, que excluye cualquier actuación puntual o tratamiento coyuntural.</w:t>
      </w:r>
    </w:p>
    <w:p w14:paraId="7E0B151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Se prestará la máxima atención a la concienciación de las personas que intervienen en el proceso y la de los responsables jerárquicos, para evitar que, la ignorancia, la falta de organización y de coordinación o de instrucciones adecuadas, constituyan fuentes de riesgo para la seguridad.</w:t>
      </w:r>
    </w:p>
    <w:p w14:paraId="0A3433C0"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7. Gestión de la seguridad basada en los riesgos.</w:t>
      </w:r>
    </w:p>
    <w:p w14:paraId="0FB208E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El análisis y la gestión de los riesgos es parte esencial del proceso de seguridad, debiendo constituir una actividad continua y permanentemente actualizada.</w:t>
      </w:r>
    </w:p>
    <w:p w14:paraId="3C0CF3B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2. La gestión de los riesgos permitirá el mantenimiento de un entorno controlado, minimizando los riesgos a niveles aceptables. La reducción a estos niveles se realizará mediante una apropiada aplicación de medidas de seguridad, de manera equilibrada y proporcionada a la naturaleza de la </w:t>
      </w:r>
      <w:r w:rsidRPr="00E81623">
        <w:rPr>
          <w:rFonts w:ascii="Verdana" w:eastAsia="Times New Roman" w:hAnsi="Verdana" w:cs="Times New Roman"/>
          <w:color w:val="000000"/>
          <w:sz w:val="28"/>
          <w:szCs w:val="28"/>
          <w:lang w:eastAsia="es-ES"/>
        </w:rPr>
        <w:lastRenderedPageBreak/>
        <w:t>información tratada, de los servicios a prestar y de los riesgos a los que estén expuestos.</w:t>
      </w:r>
    </w:p>
    <w:p w14:paraId="57EF87BB"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8. Prevención, detección, respuesta y conservación.</w:t>
      </w:r>
    </w:p>
    <w:p w14:paraId="1B36E44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seguridad del sistema debe contemplar las acciones relativas a los aspectos de prevención, detección y respuesta, al objeto de minimizar sus vulnerabilidades y lograr que las amenazas sobre el mismo no se materialicen o que, en el caso de hacerlo, no afecten gravemente a la información que maneja o a los servicios que presta.</w:t>
      </w:r>
    </w:p>
    <w:p w14:paraId="23DF6AD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Las medidas de prevención, que podrán incorporar componentes orientados a la disuasión o a la reducción de la superficie de exposición, deben eliminar o reducir la posibilidad de que las amenazas lleguen a materializarse.</w:t>
      </w:r>
    </w:p>
    <w:p w14:paraId="4D1313D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Las medidas de detección irán dirigidas a descubrir la presencia de un ciberincidente.</w:t>
      </w:r>
    </w:p>
    <w:p w14:paraId="6FED3FD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4. Las medidas de respuesta, que se gestionarán en tiempo oportuno, estarán orientadas a la restauración de la información y los servicios que pudieran haberse visto afectados por un incidente de seguridad.</w:t>
      </w:r>
    </w:p>
    <w:p w14:paraId="7BB6733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5. Sin merma de los restantes principios básicos y requisitos mínimos establecidos, el sistema de información garantizará la conservación de los datos e información en soporte electrónico.</w:t>
      </w:r>
    </w:p>
    <w:p w14:paraId="216FF97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De igual modo, el sistema mantendrá disponibles los servicios durante todo el ciclo vital de la información digital, a través de una concepción y procedimientos que sean la base para la preservación del patrimonio digital.</w:t>
      </w:r>
    </w:p>
    <w:p w14:paraId="5FC18838"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9. Existencia de líneas de defensa.</w:t>
      </w:r>
    </w:p>
    <w:p w14:paraId="1E93A53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El sistema de información ha de disponer de una estrategia de protección constituida por múltiples capas de seguridad, dispuesta de forma que, cuando una de las capas sea comprometida, permita:</w:t>
      </w:r>
    </w:p>
    <w:p w14:paraId="2135CC6E"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Desarrollar una reacción adecuada frente a los incidentes que no han podido evitarse, reduciendo la probabilidad de que el sistema sea comprometido en su conjunto.</w:t>
      </w:r>
    </w:p>
    <w:p w14:paraId="27F05A3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Minimizar el impacto final sobre el mismo.</w:t>
      </w:r>
    </w:p>
    <w:p w14:paraId="4AC11FE2"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Las líneas de defensa han de estar constituidas por medidas de naturaleza organizativa, física y lógica.</w:t>
      </w:r>
    </w:p>
    <w:p w14:paraId="6DF0F445"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lastRenderedPageBreak/>
        <w:t>Artículo 10. Vigilancia continua y reevaluación periódica.</w:t>
      </w:r>
    </w:p>
    <w:p w14:paraId="4FD7ECB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vigilancia continua permitirá la detección de actividades o comportamientos anómalos y su oportuna respuesta.</w:t>
      </w:r>
    </w:p>
    <w:p w14:paraId="29A1B0E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 evaluación permanente del estado de la seguridad de los activos permitirá medir su evolución, detectando vulnerabilidades e identificando deficiencias de configuración.</w:t>
      </w:r>
    </w:p>
    <w:p w14:paraId="3B0C682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Las medidas de seguridad se reevaluarán y actualizarán periódicamente, adecuando su eficacia a la evolución de los riesgos y los sistemas de protección, pudiendo llegar a un replanteamiento de la seguridad, si fuese necesario.</w:t>
      </w:r>
    </w:p>
    <w:p w14:paraId="6603AE80"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11. Diferenciación de responsabilidades.</w:t>
      </w:r>
    </w:p>
    <w:p w14:paraId="364A4FA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En los sistemas de información se diferenciará el responsable de la información, el responsable del servicio, el responsable de la seguridad y el responsable del sistema.</w:t>
      </w:r>
    </w:p>
    <w:p w14:paraId="5BDE636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 responsabilidad de la seguridad de los sistemas de información estará diferenciada de la responsabilidad sobre la explotación de los sistemas de información concernidos.</w:t>
      </w:r>
    </w:p>
    <w:p w14:paraId="7D9846E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La política de seguridad de la organización detallará las atribuciones de cada responsable y los mecanismos de coordinación y resolución de conflictos.</w:t>
      </w:r>
    </w:p>
    <w:p w14:paraId="55E5CA23"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III</w:t>
      </w:r>
    </w:p>
    <w:p w14:paraId="6B888B09"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Política de seguridad y requisitos mínimos de seguridad</w:t>
      </w:r>
    </w:p>
    <w:p w14:paraId="704ACECE"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12. Política de seguridad y requisitos mínimos de seguridad.</w:t>
      </w:r>
    </w:p>
    <w:p w14:paraId="00EC9C7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política de seguridad de la información es el conjunto de directrices que rigen la forma en que una organización gestiona y protege la información que trata y los servicios que presta. A tal efecto, el instrumento que apruebe dicha política de seguridad deberá incluir, como mínimo, los siguientes extremos:</w:t>
      </w:r>
    </w:p>
    <w:p w14:paraId="103B3CCD"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Los objetivos o misión de la organización.</w:t>
      </w:r>
    </w:p>
    <w:p w14:paraId="4B98477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El marco regulatorio en el que se desarrollarán las actividades.</w:t>
      </w:r>
    </w:p>
    <w:p w14:paraId="2BFA47A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c) Los roles o funciones de seguridad, definiendo para cada uno, sus deberes y responsabilidades, así como el procedimiento para su designación y renovación.</w:t>
      </w:r>
    </w:p>
    <w:p w14:paraId="3B9CBD3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La estructura y composición del comité o los comités para la gestión y coordinación de la seguridad, detallando su ámbito de responsabilidad y la relación con otros elementos de la organización.</w:t>
      </w:r>
    </w:p>
    <w:p w14:paraId="0713F37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 Las directrices para la estructuración de la documentación de seguridad del sistema, su gestión y acceso.</w:t>
      </w:r>
    </w:p>
    <w:p w14:paraId="2370328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f) Los riesgos que se derivan del tratamiento de los datos personales.</w:t>
      </w:r>
    </w:p>
    <w:p w14:paraId="224F99D9"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Cada administración pública contará con una política de seguridad formalmente aprobada por el órgano competente. Asimismo, cada órgano o entidad con personalidad jurídica propia comprendido en el ámbito subjetivo del artículo 2 deberá contar con una política de seguridad formalmente aprobada por el órgano competente.</w:t>
      </w:r>
    </w:p>
    <w:p w14:paraId="62CDD8C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No obstante, la totalidad o una parte de los sujetos de un sector público institucional podrán quedar incluidos en el ámbito subjetivo de la política de seguridad aprobada por la Administración con la que guarden relación de vinculación, dependencia o adscripción, cuando así lo determinen los órganos competentes en el ejercicio de las potestades de organización.</w:t>
      </w:r>
    </w:p>
    <w:p w14:paraId="0E01ED9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En la Administración General del Estado, cada ministerio contará con su política de seguridad, que aprobará la persona titular del Departamento. Los organismos públicos y entidades pertenecientes al sector público institucional estatal podrán contar con su propia política de seguridad, aprobada por el órgano competente, que será coherente con la del Departamento con el que mantenga la relación de vinculación, dependencia o adscripción, o bien quedar comprendidos en el ámbito subjetivo de la política de seguridad de este. También podrán contar con su propia política de seguridad, aprobada por el órgano competente, coherente con la del Departamento del que dependan o al que estén adscritos, los centros directivos de la propia Administración General del Estado que gestionen servicios bajo la declaración de servicios compartidos.</w:t>
      </w:r>
    </w:p>
    <w:p w14:paraId="7B045C2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4. La Secretaría General de Administración Digital del Ministerio de Asuntos Económicos y Transformación Digital dispondrá de su propia política de seguridad, que será aprobada por la persona titular de la misma.</w:t>
      </w:r>
    </w:p>
    <w:p w14:paraId="7150E52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5. Los municipios podrán disponer de una política de seguridad común elaborada por la entidad local comarcal o provincial que asuma la </w:t>
      </w:r>
      <w:r w:rsidRPr="00E81623">
        <w:rPr>
          <w:rFonts w:ascii="Verdana" w:eastAsia="Times New Roman" w:hAnsi="Verdana" w:cs="Times New Roman"/>
          <w:color w:val="000000"/>
          <w:sz w:val="28"/>
          <w:szCs w:val="28"/>
          <w:lang w:eastAsia="es-ES"/>
        </w:rPr>
        <w:lastRenderedPageBreak/>
        <w:t>responsabilidad de la seguridad de la información de los sistemas municipales.</w:t>
      </w:r>
    </w:p>
    <w:p w14:paraId="47746CB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6. La política de seguridad se establecerá de acuerdo con los principios básicos señalados en el capítulo II y se desarrollará aplicando los siguientes requisitos mínimos:</w:t>
      </w:r>
    </w:p>
    <w:p w14:paraId="587BE7C5"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Organización e implantación del proceso de seguridad.</w:t>
      </w:r>
    </w:p>
    <w:p w14:paraId="2477665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Análisis y gestión de los riesgos.</w:t>
      </w:r>
    </w:p>
    <w:p w14:paraId="139E793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Gestión de personal.</w:t>
      </w:r>
    </w:p>
    <w:p w14:paraId="419D09B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Profesionalidad.</w:t>
      </w:r>
    </w:p>
    <w:p w14:paraId="408BCB4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 Autorización y control de los accesos.</w:t>
      </w:r>
    </w:p>
    <w:p w14:paraId="4E01B23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f) Protección de las instalaciones.</w:t>
      </w:r>
    </w:p>
    <w:p w14:paraId="321FB36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g) Adquisición de productos de seguridad y contratación de servicios de seguridad.</w:t>
      </w:r>
    </w:p>
    <w:p w14:paraId="0531C60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h) Mínimo privilegio.</w:t>
      </w:r>
    </w:p>
    <w:p w14:paraId="6186544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i) Integridad y actualización del sistema.</w:t>
      </w:r>
    </w:p>
    <w:p w14:paraId="795B226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j) Protección de la información almacenada y en tránsito.</w:t>
      </w:r>
    </w:p>
    <w:p w14:paraId="384456C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k) Prevención ante otros sistemas de información interconectados.</w:t>
      </w:r>
    </w:p>
    <w:p w14:paraId="30C236D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 Registro de la actividad y detección de código dañino.</w:t>
      </w:r>
    </w:p>
    <w:p w14:paraId="25BF679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m) Incidentes de seguridad.</w:t>
      </w:r>
    </w:p>
    <w:p w14:paraId="3AF60B9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n) Continuidad de la actividad.</w:t>
      </w:r>
    </w:p>
    <w:p w14:paraId="0C282DE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ñ) Mejora continua del proceso de seguridad.</w:t>
      </w:r>
    </w:p>
    <w:p w14:paraId="7C759C4E"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7. Los requisitos mínimos se exigirán en proporción a los riesgos identificados en cada sistema, de conformidad con lo dispuesto en el artículo 28, alguno de los cuales podrá obviarse en sistemas sin riesgos significativos.</w:t>
      </w:r>
    </w:p>
    <w:p w14:paraId="46FA4EAD"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13. Organización e implantación del proceso de seguridad.</w:t>
      </w:r>
    </w:p>
    <w:p w14:paraId="0BA923E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seguridad de los sistemas de información deberá comprometer a todos los miembros de la organización.</w:t>
      </w:r>
    </w:p>
    <w:p w14:paraId="72D2513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2. La política de seguridad, en aplicación del principio de diferenciación de responsabilidades a que se refiere el artículo 11 y según se detalla en </w:t>
      </w:r>
      <w:r w:rsidRPr="00E81623">
        <w:rPr>
          <w:rFonts w:ascii="Verdana" w:eastAsia="Times New Roman" w:hAnsi="Verdana" w:cs="Times New Roman"/>
          <w:color w:val="000000"/>
          <w:sz w:val="28"/>
          <w:szCs w:val="28"/>
          <w:lang w:eastAsia="es-ES"/>
        </w:rPr>
        <w:lastRenderedPageBreak/>
        <w:t>la sección 3.1 del anexo II, deberá ser conocida por todas las personas que formen parte de la organización e identificar de forma inequívoca a los responsables de velar por su cumplimiento, los cuales tendrán las siguientes funciones:</w:t>
      </w:r>
    </w:p>
    <w:p w14:paraId="0981B892"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El responsable de la información determinará los requisitos de la información tratada</w:t>
      </w:r>
    </w:p>
    <w:p w14:paraId="50925E9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El responsable del servicio determinará los requisitos de los servicios prestados.</w:t>
      </w:r>
    </w:p>
    <w:p w14:paraId="1A432DA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El responsable de la seguridad determinará las decisiones para satisfacer los requisitos de seguridad de la información y de los servicios, supervisará la implantación de las medidas necesarias para garantizar que se satisfacen los requisitos y reportará sobre estas cuestiones.</w:t>
      </w:r>
    </w:p>
    <w:p w14:paraId="1E3C44D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El responsable del sistema, por sí o a través de recursos propios o contratados, se encargará de desarrollar la forma concreta de implementar la seguridad en el sistema y de la supervisión de la operación diaria del mismo, pudiendo delegar en administradores u operadores bajo su responsabilidad.</w:t>
      </w:r>
    </w:p>
    <w:p w14:paraId="092A3478"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El responsable de la seguridad será distinto del responsable del sistema, no debiendo existir dependencia jerárquica entre ambos. En aquellas situaciones excepcionales en las que la ausencia justificada de recursos haga necesario que ambas funciones recaigan en la misma persona o en distintas personas entre las que exista relación jerárquica, deberán aplicarse medidas compensatorias para garantizar la finalidad del principio de diferenciación de responsabilidades previsto en el artículo 11.</w:t>
      </w:r>
    </w:p>
    <w:p w14:paraId="332B87D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4. Una Instrucción Técnica de Seguridad regulará el Esquema de Certificación de Responsables de la Seguridad, que recogerá las condiciones y requisitos exigibles a esta figura.</w:t>
      </w:r>
    </w:p>
    <w:p w14:paraId="2806BE9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5. En el caso de servicios externalizados, salvo por causa justificada y documentada, la organización prestataria de dichos servicios deberá designar un POC (Punto o Persona de Contacto) para la seguridad de la información tratada y el servicio prestado, que cuente con el apoyo de los órganos de dirección, y que canalice y supervise, tanto el cumplimiento de los requisitos de seguridad del servicio que presta o solución que provea, como las comunicaciones relativas a la seguridad de la información y la gestión de los incidentes para el ámbito de dicho servicio.</w:t>
      </w:r>
    </w:p>
    <w:p w14:paraId="25CB446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Dicho POC de seguridad será el propio Responsable de Seguridad de la organización contratada, formará parte de su área o tendrá comunicación directa con la misma. Todo ello sin perjuicio de que la responsabilidad </w:t>
      </w:r>
      <w:r w:rsidRPr="00E81623">
        <w:rPr>
          <w:rFonts w:ascii="Verdana" w:eastAsia="Times New Roman" w:hAnsi="Verdana" w:cs="Times New Roman"/>
          <w:color w:val="000000"/>
          <w:sz w:val="28"/>
          <w:szCs w:val="28"/>
          <w:lang w:eastAsia="es-ES"/>
        </w:rPr>
        <w:lastRenderedPageBreak/>
        <w:t>última resida en la entidad del sector público destinataria de los citados servicios.</w:t>
      </w:r>
    </w:p>
    <w:p w14:paraId="020C2C8A"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14. Análisis y gestión de los riesgos.</w:t>
      </w:r>
    </w:p>
    <w:p w14:paraId="28156D0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Cada organización que desarrolle e implante sistemas para el tratamiento de la información o la prestación de servicios realizará su propia gestión de riesgos.</w:t>
      </w:r>
    </w:p>
    <w:p w14:paraId="590520B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Esta gestión se realizará por medio del análisis y tratamiento de los riesgos a los que está expuesto el sistema. Sin perjuicio de lo dispuesto en el anexo II, se empleará alguna metodología reconocida internacionalmente.</w:t>
      </w:r>
    </w:p>
    <w:p w14:paraId="34C484D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Las medidas adoptadas para mitigar o suprimir los riesgos deberán estar justificadas y, en todo caso, existirá una proporcionalidad entre ellas y los riesgos.</w:t>
      </w:r>
    </w:p>
    <w:p w14:paraId="7228F1B6"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15. Gestión de personal.</w:t>
      </w:r>
    </w:p>
    <w:p w14:paraId="27CDC98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El personal, propio o ajeno, relacionado con los sistemas de información sujetos a lo dispuesto en este real decreto, deberá ser formado e informado de sus deberes, obligaciones y responsabilidades en materia de seguridad. Su actuación, que deberá ser supervisada para verificar que se siguen los procedimientos establecidos, aplicará las normas y procedimientos operativos de seguridad aprobados en el desempeño de sus cometidos.</w:t>
      </w:r>
    </w:p>
    <w:p w14:paraId="1CB8336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El significado y alcance del uso seguro del sistema se concretará y plasmará en unas normas de seguridad que serán aprobadas por la dirección o el órgano superior correspondiente.</w:t>
      </w:r>
    </w:p>
    <w:p w14:paraId="6198D29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16. Profesionalidad.</w:t>
      </w:r>
    </w:p>
    <w:p w14:paraId="3ED361A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seguridad de los sistemas de información estará atendida y será revisada y auditada por personal cualificado, dedicado e instruido en todas las fases de su ciclo de vida: planificación, diseño, adquisición, construcción, despliegue, explotación, mantenimiento, gestión de incidencias y desmantelamiento.</w:t>
      </w:r>
    </w:p>
    <w:p w14:paraId="4E559D4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Las entidades del ámbito de aplicación de este real decreto exigirán, de manera objetiva y no discriminatoria, que las organizaciones que les presten servicios de seguridad cuenten con profesionales cualificados y con unos niveles idóneos de gestión y madurez en los servicios prestados.</w:t>
      </w:r>
    </w:p>
    <w:p w14:paraId="4580932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3. Las organizaciones determinarán los requisitos de formación y experiencia necesaria del personal para el desarrollo de su puesto de trabajo.</w:t>
      </w:r>
    </w:p>
    <w:p w14:paraId="709AF70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17. Autorización y control de los accesos.</w:t>
      </w:r>
    </w:p>
    <w:p w14:paraId="0403543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acceso controlado a los sistemas de información comprendidos en el ámbito de aplicación de este real decreto deberá estar limitado a los usuarios, procesos, dispositivos u otros sistemas de información, debidamente autorizados, y exclusivamente a las funciones permitidas.</w:t>
      </w:r>
    </w:p>
    <w:p w14:paraId="0EC2438F"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18. Protección de las instalaciones.</w:t>
      </w:r>
    </w:p>
    <w:p w14:paraId="4DA6714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Los sistemas de información y su infraestructura de comunicaciones asociada deberán permanecer en áreas controladas y disponer de los mecanismos de acceso adecuados y proporcionales en función del análisis de riesgos, sin perjuicio de lo establecido en la Ley 8/2011, de 28 de abril, por la que se establecen medidas para la protección de las infraestructuras críticas y en el Real Decreto 704/2011, de 20 de mayo, por el que se aprueba el Reglamento de protección de las infraestructuras críticas.</w:t>
      </w:r>
    </w:p>
    <w:p w14:paraId="0555AB8F"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19. Adquisición de productos de seguridad y contratación de servicios de seguridad.</w:t>
      </w:r>
    </w:p>
    <w:p w14:paraId="42A347D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En la adquisición de productos de seguridad o contratación de servicios de seguridad de las tecnologías de la información y la comunicación que vayan a ser empleados en los sistemas de información del ámbito de aplicación de este real decreto, se utilizarán, de forma proporcionada a la categoría del sistema y el nivel de seguridad determinados, aquellos que tengan certificada la funcionalidad de seguridad relacionada con el objeto de su adquisición.</w:t>
      </w:r>
    </w:p>
    <w:p w14:paraId="0D07FA7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El Organismo de Certificación del Esquema Nacional de Evaluación y Certificación de Seguridad de las Tecnologías de la Información del Centro Criptológico Nacional (en adelante, CCN), constituido al amparo de lo dispuesto en el artículo 2.2.c) del Real Decreto 421/2004, de 12 de marzo, por el que se regula el Centro Criptológico Nacional, teniendo en cuenta los criterios y metodologías de evaluación nacionales e internacionales reconocidas por este organismo y en función del uso previsto del producto o servicio concreto dentro de sus competencias, determinará los siguientes aspectos:</w:t>
      </w:r>
    </w:p>
    <w:p w14:paraId="06208EA3"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Los requisitos funcionales de seguridad y de aseguramiento de la certificación.</w:t>
      </w:r>
    </w:p>
    <w:p w14:paraId="2A0CA9C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b) Otras certificaciones de seguridad adicionales que se requieran normativamente.</w:t>
      </w:r>
    </w:p>
    <w:p w14:paraId="42DB0C3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Excepcionalmente, el criterio a seguir en los casos en que no existan productos o servicios certificados.</w:t>
      </w:r>
    </w:p>
    <w:p w14:paraId="687085A6"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Para la contratación de servicios de seguridad se estará a lo señalado en los apartados anteriores y a lo dispuesto en el artículo 16.</w:t>
      </w:r>
    </w:p>
    <w:p w14:paraId="3FC4322F"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20. Mínimo privilegio.</w:t>
      </w:r>
    </w:p>
    <w:p w14:paraId="64C5F8B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Los sistemas de información deben diseñarse y configurarse otorgando los mínimos privilegios necesarios para su correcto desempeño, lo que implica incorporar los siguientes aspectos:</w:t>
      </w:r>
    </w:p>
    <w:p w14:paraId="19E41EF6"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El sistema proporcionará la funcionalidad imprescindible para que la organización alcance sus objetivos competenciales o contractuales.</w:t>
      </w:r>
    </w:p>
    <w:p w14:paraId="5F8494F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Las funciones de operación, administración y registro de actividad serán las mínimas necesarias, y se asegurará que sólo son desarrolladas por las personas autorizadas, desde emplazamientos o equipos asimismo autorizados; pudiendo exigirse, en su caso, restricciones de horario y puntos de acceso facultados.</w:t>
      </w:r>
    </w:p>
    <w:p w14:paraId="7C539A2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Se eliminarán o desactivarán, mediante el control de la configuración, las funciones que sean innecesarias o inadecuadas al fin que se persigue. El uso ordinario del sistema ha de ser sencillo y seguro, de forma que una utilización insegura requiera de un acto consciente por parte del usuario.</w:t>
      </w:r>
    </w:p>
    <w:p w14:paraId="2E4D9C8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Se aplicarán guías de configuración de seguridad para las diferentes tecnologías, adaptadas a la categorización del sistema, al efecto de eliminar o desactivar las funciones que sean innecesarias o inadecuadas.</w:t>
      </w:r>
    </w:p>
    <w:p w14:paraId="727A3F67"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21. Integridad y actualización del sistema.</w:t>
      </w:r>
    </w:p>
    <w:p w14:paraId="56DF4F3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inclusión de cualquier elemento físico o lógico en el catálogo actualizado de activos del sistema, o su modificación, requerirá autorización formal previa.</w:t>
      </w:r>
    </w:p>
    <w:p w14:paraId="4FF0156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 evaluación y monitorización permanentes permitirán adecuar el estado de seguridad de los sistemas atendiendo a las deficiencias de configuración, las vulnerabilidades identificadas y las actualizaciones que les afecten, así como la detección temprana de cualquier incidente que tenga lugar sobre los mismos.</w:t>
      </w:r>
    </w:p>
    <w:p w14:paraId="4871F160"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22. Protección de información almacenada y en tránsito.</w:t>
      </w:r>
    </w:p>
    <w:p w14:paraId="5645CB5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1. En la organización e implantación de la seguridad se prestará especial atención a la información almacenada o en tránsito a través de los equipos o dispositivos portátiles o móviles, los dispositivos periféricos, los soportes de información y las comunicaciones sobre redes abiertas, que deberán analizarse especialmente para lograr una adecuada protección.</w:t>
      </w:r>
    </w:p>
    <w:p w14:paraId="4E97804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Se aplicarán procedimientos que garanticen la recuperación y conservación a largo plazo de los documentos electrónicos producidos por los sistemas de información comprendidos en el ámbito de aplicación de este real decreto, cuando ello sea exigible.</w:t>
      </w:r>
    </w:p>
    <w:p w14:paraId="2522222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Toda información en soporte no electrónico que haya sido causa o consecuencia directa de la información electrónica a la que se refiere este real decreto, deberá estar protegida con el mismo grado de seguridad que ésta. Para ello, se aplicarán las medidas que correspondan a la naturaleza del soporte, de conformidad con las normas que resulten de aplicación.</w:t>
      </w:r>
    </w:p>
    <w:p w14:paraId="298508A3"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23. Prevención ante otros sistemas de información interconectados.</w:t>
      </w:r>
    </w:p>
    <w:p w14:paraId="6FA9203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Se protegerá el perímetro del sistema de información, especialmente, si se conecta a redes públicas, tal y como se definen en la Ley 9/2014, de 9 de mayo, General de Telecomunicaciones, reforzándose las tareas de prevención, detección y respuesta a incidentes de seguridad.</w:t>
      </w:r>
    </w:p>
    <w:p w14:paraId="4645D75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todo caso, se analizarán los riesgos derivados de la interconexión del sistema con otros sistemas y se controlará su punto de unión. Para la adecuada interconexión entre sistemas se estará a lo dispuesto en la Instrucción Técnica de Seguridad correspondiente.</w:t>
      </w:r>
    </w:p>
    <w:p w14:paraId="0063EE85"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24. Registro de actividad y detección de código dañino.</w:t>
      </w:r>
    </w:p>
    <w:p w14:paraId="14C20EB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Con el propósito de satisfacer el objeto de este real decreto, con plenas garantías del derecho al honor, a la intimidad personal y familiar y a la propia imagen de los afectados, y de acuerdo con la normativa sobre protección de datos personales, de función pública o laboral, y demás disposiciones que resulten de aplicación, se registrarán las actividades de los usuarios, reteniendo la información estrictamente necesaria para monitorizar, analizar, investigar y documentar actividades indebidas o no autorizadas, permitiendo identificar en cada momento a la persona que actúa.</w:t>
      </w:r>
    </w:p>
    <w:p w14:paraId="73BBC81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2. Al objeto de preservar la seguridad de los sistemas de información, garantizando la rigurosa observancia de los principios de actuación de las Administraciones públicas, y de conformidad con lo dispuesto en el Reglamento General de Protección de Datos y el respeto a los principios de </w:t>
      </w:r>
      <w:r w:rsidRPr="00E81623">
        <w:rPr>
          <w:rFonts w:ascii="Verdana" w:eastAsia="Times New Roman" w:hAnsi="Verdana" w:cs="Times New Roman"/>
          <w:color w:val="000000"/>
          <w:sz w:val="28"/>
          <w:szCs w:val="28"/>
          <w:lang w:eastAsia="es-ES"/>
        </w:rPr>
        <w:lastRenderedPageBreak/>
        <w:t>limitación de la finalidad, minimización de los datos y limitación del plazo de conservación allí enunciados, los sujetos comprendidos en el artículo 2 podrán, en la medida estrictamente necesaria y proporcionada, analizar las comunicaciones entrantes o salientes, y únicamente para los fines de seguridad de la información, de forma que sea posible impedir el acceso no autorizado a las redes y sistemas de información, detener los ataques de denegación de servicio, evitar la distribución malintencionada de código dañino así como otros daños a las antedichas redes y sistemas de información.</w:t>
      </w:r>
    </w:p>
    <w:p w14:paraId="05F71BD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Para corregir o, en su caso, exigir responsabilidades, cada usuario que acceda al sistema de información deberá estar identificado de forma única, de modo que se sepa, en todo momento, quién recibe derechos de acceso, de qué tipo son éstos, y quién ha realizado una determinada actividad.</w:t>
      </w:r>
    </w:p>
    <w:p w14:paraId="73F49153"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25. Incidentes de seguridad.</w:t>
      </w:r>
    </w:p>
    <w:p w14:paraId="08780528"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entidad titular de los sistemas de información del ámbito de este real decreto dispondrá de procedimientos de gestión de incidentes de seguridad de acuerdo con lo previsto en el artículo 33, la Instrucción Técnica de Seguridad correspondiente y, en caso de tratarse de un operador de servicios esenciales o de un proveedor de servicios digitales, de acuerdo con lo previsto en el anexo del Real Decreto 43/2021, de 26 de enero, por el que se desarrolla el Real Decreto-ley 12/2018, de 7 de septiembre, de seguridad de las redes y sistemas de información.</w:t>
      </w:r>
    </w:p>
    <w:p w14:paraId="7F6A878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Asimismo, se dispondrá de mecanismos de detección, criterios de clasificación, procedimientos de análisis y resolución, así como de los cauces de comunicación a las partes interesadas y el registro de las actuaciones. Este registro se empleará para la mejora continua de la seguridad del sistema.</w:t>
      </w:r>
    </w:p>
    <w:p w14:paraId="34DD2DA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26. Continuidad de la actividad.</w:t>
      </w:r>
    </w:p>
    <w:p w14:paraId="242CB50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Los sistemas dispondrán de copias de seguridad y se establecerán los mecanismos necesarios para garantizar la continuidad de las operaciones en caso de pérdida de los medios habituales.</w:t>
      </w:r>
    </w:p>
    <w:p w14:paraId="6229E68B"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27. Mejora continua del proceso de seguridad.</w:t>
      </w:r>
    </w:p>
    <w:p w14:paraId="7C7E5F4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proceso integral de seguridad implantado deberá ser actualizado y mejorado de forma continua. Para ello, se aplicarán los criterios y métodos reconocidos en la práctica nacional e internacional relativos a la gestión de la seguridad de las tecnologías de la información.</w:t>
      </w:r>
    </w:p>
    <w:p w14:paraId="171904A7"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lastRenderedPageBreak/>
        <w:t>Artículo 28. Cumplimiento de los requisitos mínimos.</w:t>
      </w:r>
    </w:p>
    <w:p w14:paraId="35D42B7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Para dar cumplimiento a los requisitos mínimos establecidos en el presente real decreto, las entidades comprendidas en su ámbito de aplicación adoptarán las medidas y refuerzos de seguridad correspondientes indicados en el anexo II, teniendo en cuenta:</w:t>
      </w:r>
    </w:p>
    <w:p w14:paraId="279397C5"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Los activos que constituyen los sistemas de información concernidos.</w:t>
      </w:r>
    </w:p>
    <w:p w14:paraId="643234D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La categoría del sistema, según lo previsto en el artículo 40 y en el anexo I.</w:t>
      </w:r>
    </w:p>
    <w:p w14:paraId="7522C30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Las decisiones que se adopten para gestionar los riesgos identificados.</w:t>
      </w:r>
    </w:p>
    <w:p w14:paraId="51A0949F"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Las medidas a las que se refiere el apartado 1 tendrán la condición de mínimos exigibles, siendo ampliables a criterio del responsable de la seguridad, quien podrá incluir medidas adicionales, habida cuenta del estado de la tecnología, la naturaleza de la información tratada o los servicios prestados y los riesgos a que están expuestos los sistemas de información afectados. La relación de medidas de seguridad seleccionadas se formalizará en un documento denominado Declaración de Aplicabilidad, firmado por el responsable de la seguridad.</w:t>
      </w:r>
    </w:p>
    <w:p w14:paraId="187270B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Las medidas de seguridad referenciadas en el anexo II podrán ser reemplazadas por otras compensatorias, siempre y cuando se justifique documentalmente que protegen, igual o mejor, del riesgo sobre los activos (anexo I) y se satisfacen los principios básicos y los requisitos mínimos previstos en los capítulos II y III. Como parte integral de la Declaración de Aplicabilidad se indicará, de forma detallada, la correspondencia entre las medidas compensatorias implantadas y las medidas del anexo II que compensan. El conjunto será objeto de la aprobación formal por parte del responsable de la seguridad. Una Guía CCN-STIC de las previstas en la disposición adicional segunda guiará en la selección de dichas medidas, así como su registro e inclusión en la Declaración de Aplicabilidad.</w:t>
      </w:r>
    </w:p>
    <w:p w14:paraId="795A742A"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29. Infraestructuras y servicios comunes.</w:t>
      </w:r>
    </w:p>
    <w:p w14:paraId="1E277A1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 utilización de infraestructuras y servicios comunes de las administraciones públicas, incluidos los compartidos o transversales, facilitará el cumplimiento de lo dispuesto en este real decreto. Los supuestos concretos de utilización de estas infraestructuras y servicios serán determinados por cada administración pública.</w:t>
      </w:r>
    </w:p>
    <w:p w14:paraId="6B84013F"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30. Perfiles de cumplimiento específicos y acreditación de entidades de implementación de configuraciones seguras.</w:t>
      </w:r>
    </w:p>
    <w:p w14:paraId="4230CAD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1. En virtud del principio de proporcionalidad y buscando una eficaz y eficiente aplicación del ENS a determinadas entidades o sectores de actividad concretos, se podrán implementar perfiles de cumplimiento específicos que comprenderán aquel conjunto de medidas de seguridad que, trayendo causa del preceptivo análisis de riesgos, resulten idóneas para una concreta categoría de seguridad.</w:t>
      </w:r>
    </w:p>
    <w:p w14:paraId="64E37F9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De forma análoga a lo dispuesto en el apartado anterior, para posibilitar la adecuada implantación y configuración de soluciones o plataformas suministradas por terceros, que vayan a ser usadas por las entidades comprendidas en el ámbito de aplicación de este real decreto, se podrán implementar esquemas de acreditación de entidades y validación de personas, que garanticen la seguridad de dichas soluciones o plataformas y la conformidad con lo dispuesto en este real decreto.</w:t>
      </w:r>
    </w:p>
    <w:p w14:paraId="06A28EA3"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El CCN, en el ejercicio de sus competencias, validará y publicará los correspondientes perfiles de cumplimiento específicos que se definan y los antedichos esquemas de acreditación y validación, de acuerdo con las instrucciones técnicas de seguridad y guías de seguridad aprobadas conforme a lo previsto en la disposición adicional segunda.</w:t>
      </w:r>
    </w:p>
    <w:p w14:paraId="2546C15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4. Las correspondientes instrucciones técnicas de seguridad o, en su caso, las guías de Seguridad CCN-STIC, precisarán las condiciones a las que deberán sujetarse las implementaciones en modo local de productos, sistemas o servicios originariamente prestados en la nube o en forma remota, así como las condiciones específicas para su evaluación y auditoría.</w:t>
      </w:r>
    </w:p>
    <w:p w14:paraId="2673A39C"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IV</w:t>
      </w:r>
    </w:p>
    <w:p w14:paraId="3D586752"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Seguridad de los sistemas: auditoría, informe e incidentes de seguridad</w:t>
      </w:r>
    </w:p>
    <w:p w14:paraId="038091DB"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31. Auditoría de la seguridad.</w:t>
      </w:r>
    </w:p>
    <w:p w14:paraId="7668229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Los sistemas de información comprendidos en el ámbito de aplicación de este real decreto serán objeto de una auditoría regular ordinaria, al menos cada dos años, que verifique el cumplimiento de los requerimientos del ENS.</w:t>
      </w:r>
    </w:p>
    <w:p w14:paraId="14042F9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Con carácter extraordinario, deberá realizarse dicha auditoría siempre que se produzcan modificaciones sustanciales en los sistemas de información, que puedan repercutir en las medidas de seguridad requeridas. La realización de la auditoria extraordinaria determinará la fecha de cómputo para el cálculo de los dos años, establecidos para la </w:t>
      </w:r>
      <w:r w:rsidRPr="00E81623">
        <w:rPr>
          <w:rFonts w:ascii="Verdana" w:eastAsia="Times New Roman" w:hAnsi="Verdana" w:cs="Times New Roman"/>
          <w:color w:val="000000"/>
          <w:sz w:val="28"/>
          <w:szCs w:val="28"/>
          <w:lang w:eastAsia="es-ES"/>
        </w:rPr>
        <w:lastRenderedPageBreak/>
        <w:t>realización de la siguiente auditoría regular ordinaria, indicados en el párrafo anterior.</w:t>
      </w:r>
    </w:p>
    <w:p w14:paraId="7FA2457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plazo de dos años señalado en los párrafos anteriores podrá extenderse durante tres meses cuando concurran impedimentos de fuerza mayor no imputables a la entidad titular del sistema o sistemas de información concernidos.</w:t>
      </w:r>
    </w:p>
    <w:p w14:paraId="0F4FB40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 auditoría se realizará en función de la categoría del sistema y, en su caso, del perfil de cumplimiento específico que corresponda, según lo dispuesto en los anexos I y III y de conformidad con lo regulado en la Instrucción Técnica de Seguridad de Auditoría de la Seguridad de los Sistemas de Información.</w:t>
      </w:r>
    </w:p>
    <w:p w14:paraId="7FB9792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En la realización de las auditorías de la seguridad se utilizarán los criterios, métodos de trabajo y de conducta generalmente reconocidos, así como la normalización nacional e internacional aplicables a este tipo de actividades.</w:t>
      </w:r>
    </w:p>
    <w:p w14:paraId="096ACC5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4. El informe de auditoría deberá dictaminar sobre el grado de cumplimiento de este real decreto identificando los hallazgos de cumplimiento e incumplimiento detectados. Deberá, igualmente, incluir los criterios metodológicos de auditoría utilizados, el alcance y el objetivo de la auditoría, y los datos, hechos y observaciones en que se basen las conclusiones formuladas, todo ello de conformidad con la citada Instrucción Técnica de Seguridad de Auditoría de la Seguridad de los Sistemas de Información.</w:t>
      </w:r>
    </w:p>
    <w:p w14:paraId="612E6F3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5. Los informes de auditoría serán presentados al responsable del sistema y al responsable de la seguridad. Estos informes serán analizados por este último que presentará sus conclusiones al responsable del sistema para que adopte las medidas correctoras adecuadas.</w:t>
      </w:r>
    </w:p>
    <w:p w14:paraId="4D6E492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6. En el caso de los sistemas de categoría ALTA, visto el dictamen de auditoría y atendiendo a una eventual gravedad de las deficiencias encontradas, el responsable del sistema podrá suspender temporalmente el tratamiento de informaciones, la prestación de servicios o la total operación del sistema, hasta su adecuada subsanación o mitigación.</w:t>
      </w:r>
    </w:p>
    <w:p w14:paraId="1AF86C41"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7. Los informes de auditoría podrán ser requeridos por los responsables de cada organización, con competencias sobre seguridad de las tecnologías de la información, y por el CCN.</w:t>
      </w:r>
    </w:p>
    <w:p w14:paraId="475DB75B"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32. Informe del estado de la seguridad.</w:t>
      </w:r>
    </w:p>
    <w:p w14:paraId="714FEB4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1. La Comisión Sectorial de Administración Electrónica recogerá la información relacionada con el estado de las principales variables de la </w:t>
      </w:r>
      <w:r w:rsidRPr="00E81623">
        <w:rPr>
          <w:rFonts w:ascii="Verdana" w:eastAsia="Times New Roman" w:hAnsi="Verdana" w:cs="Times New Roman"/>
          <w:color w:val="000000"/>
          <w:sz w:val="28"/>
          <w:szCs w:val="28"/>
          <w:lang w:eastAsia="es-ES"/>
        </w:rPr>
        <w:lastRenderedPageBreak/>
        <w:t>seguridad en los sistemas de información a los que se refiere este real decreto, de forma que permita elaborar un perfil general del estado de la seguridad en las entidades titulares de los sistemas de información comprendidos en el ámbito de aplicación del artículo 2, que se plasmará en el informe correspondiente.</w:t>
      </w:r>
    </w:p>
    <w:p w14:paraId="220319F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El CCN articulará los procedimientos necesarios para la recogida y consolidación de la información, así como los aspectos metodológicos para su tratamiento y explotación, a través de los correspondientes grupos de trabajo que se constituyan al efecto en la Comisión Sectorial de Administración Electrónica y en los órganos colegiados competentes en el ámbito de la Administración General del Estado.</w:t>
      </w:r>
    </w:p>
    <w:p w14:paraId="6C0780F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Los resultados del informe serán utilizados por las autoridades competentes que impulsarán las medidas oportunas que faciliten la mejora continua del estado de la seguridad utilizando en su caso, cuadros de mando e indicadores que contribuyan a la toma de decisiones mediante el uso de las herramientas que el CCN provea para tal efecto.</w:t>
      </w:r>
    </w:p>
    <w:p w14:paraId="76EBE0C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33. Capacidad de respuesta a incidentes de seguridad.</w:t>
      </w:r>
    </w:p>
    <w:p w14:paraId="521AB96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El CCN articulará la respuesta a los incidentes de seguridad en torno a la estructura denominada CCN-CERT (por su acrónimo en inglés de </w:t>
      </w:r>
      <w:r w:rsidRPr="00E81623">
        <w:rPr>
          <w:rFonts w:ascii="Verdana" w:eastAsia="Times New Roman" w:hAnsi="Verdana" w:cs="Times New Roman"/>
          <w:i/>
          <w:iCs/>
          <w:color w:val="000000"/>
          <w:sz w:val="28"/>
          <w:szCs w:val="28"/>
          <w:lang w:eastAsia="es-ES"/>
        </w:rPr>
        <w:t>Computer Emergency Response Team),</w:t>
      </w:r>
      <w:r w:rsidRPr="00E81623">
        <w:rPr>
          <w:rFonts w:ascii="Verdana" w:eastAsia="Times New Roman" w:hAnsi="Verdana" w:cs="Times New Roman"/>
          <w:color w:val="000000"/>
          <w:sz w:val="28"/>
          <w:szCs w:val="28"/>
          <w:lang w:eastAsia="es-ES"/>
        </w:rPr>
        <w:t> que actuará sin perjuicio de las capacidades de respuesta a incidentes de seguridad que pueda tener cada administración pública y de la función de coordinación a nivel nacional e internacional del CCN.</w:t>
      </w:r>
    </w:p>
    <w:p w14:paraId="6647D4D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Sin perjuicio de lo establecido en el artículo 19.4 del Real Decreto-ley 12/2018, de 7 de septiembre, las entidades del sector público notificarán al CCN aquellos incidentes que tengan un impacto significativo en la seguridad de los sistemas de información concernidos, de acuerdo con la correspondiente Instrucción Técnica de Seguridad.</w:t>
      </w:r>
    </w:p>
    <w:p w14:paraId="6CBE6625"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Cuando un operador esencial que haya sido designado como operador crítico sufra un incidente, los CSIRT de referencia se coordinarán con el Ministerio del Interior, a través de su Oficina de Coordinación de Ciberseguridad, según lo previsto en el artículo 11.2 del Real Decreto-ley 12/2018, de 7 de septiembre.</w:t>
      </w:r>
    </w:p>
    <w:p w14:paraId="5F61924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4. Cuando un operador con incidencia en la Defensa Nacional sufra un incidente deberá analizar si, por su alcance, éste pudiera tener impacto en el funcionamiento del Ministerio de Defensa o en la operatividad de las Fuerzas Armadas, lo pondrá de inmediato en conocimiento de su CSIRT de referencia, quien informará a la capacidad de respuesta e incidentes de seguridad de referencia para el ámbito de la Defensa nacional, denominada </w:t>
      </w:r>
      <w:r w:rsidRPr="00E81623">
        <w:rPr>
          <w:rFonts w:ascii="Verdana" w:eastAsia="Times New Roman" w:hAnsi="Verdana" w:cs="Times New Roman"/>
          <w:color w:val="000000"/>
          <w:sz w:val="28"/>
          <w:szCs w:val="28"/>
          <w:lang w:eastAsia="es-ES"/>
        </w:rPr>
        <w:lastRenderedPageBreak/>
        <w:t>ESPDEF-CERT, del Mando Conjunto del Ciberespacio (MCCE) a través de los canales establecidos. En estos casos, el ESPDEF-CERT del Mando Conjunto del Ciberespacio deberá ser oportunamente informado de la evolución de la gestión del incidente y podrá colaborar en la supervisión con la autoridad competente.</w:t>
      </w:r>
    </w:p>
    <w:p w14:paraId="3D366D5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5. De conformidad con lo dispuesto en el Real Decreto-ley 12/2018, de 7 de septiembre, el CCN ejercerá la coordinación nacional de la respuesta técnica de los equipos de respuesta a incidentes de seguridad informática (denominados por su acrónimo en inglés </w:t>
      </w:r>
      <w:r w:rsidRPr="00E81623">
        <w:rPr>
          <w:rFonts w:ascii="Verdana" w:eastAsia="Times New Roman" w:hAnsi="Verdana" w:cs="Times New Roman"/>
          <w:i/>
          <w:iCs/>
          <w:color w:val="000000"/>
          <w:sz w:val="28"/>
          <w:szCs w:val="28"/>
          <w:lang w:eastAsia="es-ES"/>
        </w:rPr>
        <w:t>Computer Security Incident Response Team, </w:t>
      </w:r>
      <w:r w:rsidRPr="00E81623">
        <w:rPr>
          <w:rFonts w:ascii="Verdana" w:eastAsia="Times New Roman" w:hAnsi="Verdana" w:cs="Times New Roman"/>
          <w:color w:val="000000"/>
          <w:sz w:val="28"/>
          <w:szCs w:val="28"/>
          <w:lang w:eastAsia="es-ES"/>
        </w:rPr>
        <w:t>en adelante, CSIRT) en materia de seguridad de las redes y sistemas de información del sector público.</w:t>
      </w:r>
    </w:p>
    <w:p w14:paraId="6C0E570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6. Tras un incidente de seguridad, el CCN-CERT determinará técnicamente el riesgo de reconexión del sistema o sistemas afectados, indicando los procedimientos a seguir y las salvaguardas a implementar con objeto de reducir el impacto para, en la medida de lo posible, evitar que vuelvan a darse las circunstancias que lo propiciaron.</w:t>
      </w:r>
    </w:p>
    <w:p w14:paraId="7D2CD9D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Tras un incidente de seguridad, la Secretaría General de Administración Digital, sin perjuicio de la normativa que regula la continuidad de los sistemas de información implicados en la seguridad pública o la normativa que regule la continuidad de los sistemas de información militares implicados en la Defensa Nacional que requieran la participación del ESPDEF-CERT del Mando Conjunto del Ciberespacio, autorizará la reconexión a los medios y servicios comunes comprendidos bajo su ámbito de responsabilidad, incluidos los compartidos o transversales, si un informe de superficie de exposición del CCN-CERT hubiere determinado que el riesgo es asumible.</w:t>
      </w:r>
    </w:p>
    <w:p w14:paraId="3CADFF8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caso de que se trate de un incidente de seguridad que afecte a un medio o servicio común bajo ámbito de responsabilidad de la Intervención General de la Administración del Estado, esta participará en el proceso de autorización de la reconexión a que se refiere el párrafo anterior.</w:t>
      </w:r>
    </w:p>
    <w:p w14:paraId="7A30793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7. Las organizaciones del sector privado que presten servicios a las entidades públicas notificarán al INCIBE-CERT, centro de respuesta a incidentes de seguridad de referencia para los ciudadanos y entidades de derecho privado en España operado por la S.M.E. Instituto Nacional de Ciberseguridad de España M.P., S.A. (INCIBE) dependiente del Ministerio de Asuntos Económicos y Transformación Digital, los incidentes que les afecten a través de su equipo de respuesta a incidentes de seguridad informática, quien, sin perjuicio de sus competencias y de lo previsto en los artículos 9, 10 y 11 del Real Decreto 43/2021, de 26 de enero, en relación con la Plataforma de Notificación y Seguimiento de </w:t>
      </w:r>
      <w:r w:rsidRPr="00E81623">
        <w:rPr>
          <w:rFonts w:ascii="Verdana" w:eastAsia="Times New Roman" w:hAnsi="Verdana" w:cs="Times New Roman"/>
          <w:color w:val="000000"/>
          <w:sz w:val="28"/>
          <w:szCs w:val="28"/>
          <w:lang w:eastAsia="es-ES"/>
        </w:rPr>
        <w:lastRenderedPageBreak/>
        <w:t>Ciberincidentes, lo pondrá inmediatamente en conocimiento del CCN-CERT.</w:t>
      </w:r>
    </w:p>
    <w:p w14:paraId="30A816E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34. Prestación de servicios de respuesta a incidentes de seguridad a las entidades del sector público.</w:t>
      </w:r>
    </w:p>
    <w:p w14:paraId="3B82FAE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De acuerdo con lo previsto en el artículo 33, el CCN-CERT prestará los siguientes servicios:</w:t>
      </w:r>
    </w:p>
    <w:p w14:paraId="2ADF393F"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a) Soporte y coordinación para el tratamiento de vulnerabilidades y la resolución de incidentes de seguridad que tengan las entidades del ámbito de aplicación de este real decreto.</w:t>
      </w:r>
    </w:p>
    <w:p w14:paraId="50A3DF82"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CCN-CERT, a través de su servicio de apoyo técnico y de coordinación, actuará con la máxima celeridad ante cualquier agresión recibida en los sistemas de información afectados.</w:t>
      </w:r>
    </w:p>
    <w:p w14:paraId="39C24BD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Para el cumplimiento de los fines indicados en los párrafos anteriores se podrán recabar informes, registros de auditoría y configuraciones de los sistemas afectados y cualquier otra información que se considere relevante, así como los soportes informáticos que se estimen necesarios para la investigación del incidente de los sistemas afectados, sin perjuicio de lo dispuesto en la normativa de protección de datos que resulte de aplicación, así como de la posible confidencialidad de datos de carácter institucional u organizativo.</w:t>
      </w:r>
    </w:p>
    <w:p w14:paraId="6DE4CAED"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b) Investigación y divulgación de las mejores prácticas sobre seguridad de la información entre todos los miembros de las entidades del sector público. Con esta finalidad, las series de documentos CCN-STIC (CCN-Seguridad de las Tecnologías de Información y la Comunicación), elaboradas por el CCN, ofrecerán normas, instrucciones, guías, recomendaciones y mejores prácticas para aplicar el ENS y para garantizar la seguridad de los sistemas de información del ámbito de aplicación de este real decreto.</w:t>
      </w:r>
    </w:p>
    <w:p w14:paraId="7D49D30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 Formación destinada al personal del sector público especialista en el campo de la seguridad de las tecnologías de la información, al objeto de facilitar la actualización de conocimientos y de lograr la sensibilización y mejora de sus capacidades para la prevención, detección y gestión de incidentes.</w:t>
      </w:r>
    </w:p>
    <w:p w14:paraId="14322B0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d) Información sobre vulnerabilidades, alertas y avisos de nuevas amenazas a los sistemas de información, recopiladas de diversas fuentes de reconocido prestigio, incluidas las propias.</w:t>
      </w:r>
    </w:p>
    <w:p w14:paraId="63A9AA3F" w14:textId="77777777" w:rsidR="00E81623" w:rsidRPr="00E81623" w:rsidRDefault="00E81623" w:rsidP="00E81623">
      <w:pPr>
        <w:shd w:val="clear" w:color="auto" w:fill="FFFFFF"/>
        <w:spacing w:before="36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2. El CCN desarrollará un programa que ofrezca la información, formación, recomendaciones y herramientas necesarias para que las entidades del sector público puedan desarrollar sus propias capacidades de respuesta a incidentes de seguridad, y en el que, aquel, será coordinador a nivel público estatal.</w:t>
      </w:r>
    </w:p>
    <w:p w14:paraId="7EF512A4"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V</w:t>
      </w:r>
    </w:p>
    <w:p w14:paraId="1AD92307"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Normas de conformidad</w:t>
      </w:r>
    </w:p>
    <w:p w14:paraId="17218A5A"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35. Administración digital.</w:t>
      </w:r>
    </w:p>
    <w:p w14:paraId="7CC56B1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seguridad de los sistemas de información que sustentan la administración digital se regirá por lo establecido en este real decreto.</w:t>
      </w:r>
    </w:p>
    <w:p w14:paraId="3CAB689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i/>
          <w:iCs/>
          <w:color w:val="000000"/>
          <w:sz w:val="28"/>
          <w:szCs w:val="28"/>
          <w:lang w:eastAsia="es-ES"/>
        </w:rPr>
        <w:t>2.</w:t>
      </w:r>
      <w:r w:rsidRPr="00E81623">
        <w:rPr>
          <w:rFonts w:ascii="Verdana" w:eastAsia="Times New Roman" w:hAnsi="Verdana" w:cs="Times New Roman"/>
          <w:color w:val="000000"/>
          <w:sz w:val="28"/>
          <w:szCs w:val="28"/>
          <w:lang w:eastAsia="es-ES"/>
        </w:rPr>
        <w:t> El CCN es el órgano competente para garantizar la debida interoperabilidad en materia de ciberseguridad y criptografía, en relación con la aplicación del Real Decreto 4/2010, de 8 de enero, por el que se regula el Esquema Nacional de Interoperabilidad en el ámbito de la administración electrónica.</w:t>
      </w:r>
    </w:p>
    <w:p w14:paraId="16D84B17"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36. Ciclo de vida de servicios y sistemas.</w:t>
      </w:r>
    </w:p>
    <w:p w14:paraId="02C569D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Las especificaciones de seguridad se incluirán en el ciclo de vida de los servicios y sistemas, acompañadas de los correspondientes procedimientos de control.</w:t>
      </w:r>
    </w:p>
    <w:p w14:paraId="6A7AA862"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37. Mecanismos de control.</w:t>
      </w:r>
    </w:p>
    <w:p w14:paraId="7E9AAFC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Cada entidad titular de los sistemas de información comprendidos en el ámbito de aplicación de este real decreto y, en su caso, sus organismos, órganos, departamentos o unidades, establecerán sus mecanismos de control para garantizar de forma real y efectiva el cumplimiento del ENS.</w:t>
      </w:r>
    </w:p>
    <w:p w14:paraId="0F56B05A"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38. Procedimientos de determinación de la conformidad con el Esquema Nacional de Seguridad.</w:t>
      </w:r>
    </w:p>
    <w:p w14:paraId="0BB829C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 xml:space="preserve">1. Los sistemas de información comprendidos en el ámbito del artículo 2 serán objeto de un proceso para determinar su conformidad con el ENS. A tal efecto, los sistemas de categoría MEDIA o ALTA precisarán de una auditoría para la certificación de su conformidad, sin perjuicio de la auditoría de la seguridad prevista en el artículo 31 que podrá servir asimismo para los fines de la certificación, mientras que los sistemas de categoría BÁSICA solo requerirán de una autoevaluación para su </w:t>
      </w:r>
      <w:r w:rsidRPr="00E81623">
        <w:rPr>
          <w:rFonts w:ascii="Verdana" w:eastAsia="Times New Roman" w:hAnsi="Verdana" w:cs="Times New Roman"/>
          <w:color w:val="000000"/>
          <w:sz w:val="28"/>
          <w:szCs w:val="28"/>
          <w:lang w:eastAsia="es-ES"/>
        </w:rPr>
        <w:lastRenderedPageBreak/>
        <w:t>declaración de la conformidad, sin perjuicio de que se puedan someter igualmente a una auditoria de certificación.</w:t>
      </w:r>
    </w:p>
    <w:p w14:paraId="3326F91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Tanto el procedimiento de autoevaluación como la auditoría de certificación se realizarán según lo dispuesto en el artículo 31 y el anexo III y en los términos que se determinen en la correspondiente Instrucción Técnica de Seguridad, que concretará asimismo los requisitos exigibles a las entidades certificadoras.</w:t>
      </w:r>
    </w:p>
    <w:p w14:paraId="792F3D6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Los sujetos responsables de los sistemas de información a que se refiere el apartado anterior darán publicidad, en los correspondientes portales de internet o sedes electrónicas a las declaraciones y certificaciones de conformidad con el ENS, atendiendo a lo dispuesto en la mencionada Instrucción Técnica de Seguridad.</w:t>
      </w:r>
    </w:p>
    <w:p w14:paraId="2454566A"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VI</w:t>
      </w:r>
    </w:p>
    <w:p w14:paraId="5283F5DA"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Actualización del Esquema Nacional de Seguridad</w:t>
      </w:r>
    </w:p>
    <w:p w14:paraId="2B7B81C4"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39. Actualización permanente.</w:t>
      </w:r>
    </w:p>
    <w:p w14:paraId="3C2E005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ENS se mantendrá actualizado de manera permanente, desarrollándose y perfeccionándose a lo largo del tiempo, en paralelo al avance de los servicios prestados por las entidades del sector público, la evolución tecnológica, la aparición o consolidación de nuevos estándares internacionales sobre seguridad y auditoría y los riesgos a los que estén expuestos los sistemas de información concernidos.</w:t>
      </w:r>
    </w:p>
    <w:p w14:paraId="4BCEDB2C" w14:textId="77777777" w:rsidR="00E81623" w:rsidRPr="00E81623" w:rsidRDefault="00E81623" w:rsidP="00E81623">
      <w:pPr>
        <w:shd w:val="clear" w:color="auto" w:fill="FFFFFF"/>
        <w:spacing w:before="480" w:after="0" w:line="240" w:lineRule="auto"/>
        <w:ind w:left="960" w:right="960"/>
        <w:jc w:val="center"/>
        <w:outlineLvl w:val="3"/>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CAPÍTULO VII</w:t>
      </w:r>
    </w:p>
    <w:p w14:paraId="59BB0638" w14:textId="77777777" w:rsidR="00E81623" w:rsidRPr="00E81623" w:rsidRDefault="00E81623" w:rsidP="00E81623">
      <w:pPr>
        <w:shd w:val="clear" w:color="auto" w:fill="FFFFFF"/>
        <w:spacing w:before="180" w:after="180" w:line="240" w:lineRule="auto"/>
        <w:ind w:left="960" w:right="960"/>
        <w:jc w:val="center"/>
        <w:outlineLvl w:val="3"/>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Categorización de los sistemas de información</w:t>
      </w:r>
    </w:p>
    <w:p w14:paraId="76EA6702"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40. Categorías de seguridad.</w:t>
      </w:r>
    </w:p>
    <w:p w14:paraId="197EC1A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La categoría de seguridad de un sistema de información modulará el equilibrio entre la importancia de la información que maneja y los servicios que presta y el esfuerzo de seguridad requerido, en función de los riesgos a los que está expuesto, bajo el principio de proporcionalidad.</w:t>
      </w:r>
    </w:p>
    <w:p w14:paraId="2ED8A666"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La determinación de la categoría de seguridad se efectuará en función de la valoración del impacto que tendría un incidente que afectase a la seguridad de la información o de los servicios con perjuicio para la disponibilidad, autenticidad, integridad, confidencialidad o trazabilidad, siguiendo el procedimiento descrito en el anexo I.</w:t>
      </w:r>
    </w:p>
    <w:p w14:paraId="48745266"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Artículo 41. Facultades.</w:t>
      </w:r>
    </w:p>
    <w:p w14:paraId="3189E78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1. La facultad para efectuar las valoraciones a las que se refiere el artículo 40, así como, en su caso, su posterior modificación, corresponderá al responsable o responsables de la información o servicios afectados.</w:t>
      </w:r>
    </w:p>
    <w:p w14:paraId="1282E82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Con base en las valoraciones señaladas en el apartado anterior, la determinación de la categoría de seguridad del sistema corresponderá al responsable o responsables de la seguridad.</w:t>
      </w:r>
    </w:p>
    <w:p w14:paraId="4311D58C"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adicional primera. Formación.</w:t>
      </w:r>
    </w:p>
    <w:p w14:paraId="1E3A357A"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El CCN y el Instituto Nacional de Administración Pública desarrollarán programas de sensibilización, concienciación y formación, dirigidos al personal de las entidades del sector público, para asegurar un adecuado despliegue de la información y las capacidades jurídicas, organizativas y técnicas relacionadas con la ciberseguridad de los sistemas de información públicos, y para garantizar el conocimiento permanente del ENS entre dichas entidades.</w:t>
      </w:r>
    </w:p>
    <w:p w14:paraId="3A224616"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adicional segunda. Desarrollo del Esquema Nacional de Seguridad.</w:t>
      </w:r>
    </w:p>
    <w:p w14:paraId="4FE79FB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En desarrollo de lo dispuesto en este real decreto, la Secretaría de Estado de Digitalización e Inteligencia Artificial del Ministerio de Asuntos Económicos y Transformación Digital, a propuesta de la Comisión Sectorial de Administración Electrónica y a iniciativa del Centro Criptológico Nacional, aprobará las instrucciones técnicas de seguridad de obligado cumplimiento, que se publicarán mediante Resolución de dicha Secretaría de Estado.</w:t>
      </w:r>
    </w:p>
    <w:p w14:paraId="03E82F7E"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Las instrucciones técnicas de seguridad tendrán en cuenta las normas armonizadas por la Unión Europea aplicables. Para su redacción y mantenimiento se constituirán los correspondientes grupos de trabajo en los órganos colegiados con competencias en materia de administración digital.</w:t>
      </w:r>
    </w:p>
    <w:p w14:paraId="7D72A4B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Para el mejor cumplimiento de lo establecido en este real decreto, el CCN, en el ejercicio de sus competencias, elaborará y difundirá las correspondientes guías de seguridad de las tecnologías de la información y la comunicación (guías CCN-STIC), particularmente de la serie 800, que se incorporarán al conjunto documental utilizado para la realización de las auditorías de seguridad.</w:t>
      </w:r>
    </w:p>
    <w:p w14:paraId="32265700"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adicional tercera. Respeto del principio de «no causar un perjuicio significativo» al medioambiente.</w:t>
      </w:r>
    </w:p>
    <w:p w14:paraId="03E47657"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lastRenderedPageBreak/>
        <w:t>En cumplimiento con lo dispuesto en el Plan de Recuperación, Transformación y Resiliencia (PRTR) y en el Reglamento (UE) 2021/241 del Parlamento Europeo y del Consejo, de 12 de febrero de 2021, por el que se establece el Mecanismo de Recuperación y Resiliencia, todas las actuaciones que se lleven a cabo en el marco del PRTR en cumplimiento del presente real decreto deben respetar el principio de «no causar un perjuicio significativo» al medioambiente (principio DNSH por sus siglas en inglés, </w:t>
      </w:r>
      <w:r w:rsidRPr="00E81623">
        <w:rPr>
          <w:rFonts w:ascii="Verdana" w:eastAsia="Times New Roman" w:hAnsi="Verdana" w:cs="Times New Roman"/>
          <w:i/>
          <w:iCs/>
          <w:color w:val="000000"/>
          <w:sz w:val="28"/>
          <w:szCs w:val="28"/>
          <w:lang w:eastAsia="es-ES"/>
        </w:rPr>
        <w:t>Do No Significant Harm)</w:t>
      </w:r>
      <w:r w:rsidRPr="00E81623">
        <w:rPr>
          <w:rFonts w:ascii="Verdana" w:eastAsia="Times New Roman" w:hAnsi="Verdana" w:cs="Times New Roman"/>
          <w:color w:val="000000"/>
          <w:sz w:val="28"/>
          <w:szCs w:val="28"/>
          <w:lang w:eastAsia="es-ES"/>
        </w:rPr>
        <w:t> y las condiciones del etiquetado climático y digital.</w:t>
      </w:r>
    </w:p>
    <w:p w14:paraId="6E9CAB30"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transitoria única. Adecuación de sistemas.</w:t>
      </w:r>
    </w:p>
    <w:p w14:paraId="0B604A80"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1. Los sistemas de información del ámbito de aplicación de este real decreto, preexistentes a su entrada en vigor, incluidos aquellos de los que sean titulares los contratistas del sector privado en los términos señalados en el artículo 2, dispondrán de veinticuatro meses para alcanzar su plena adecuación al ENS, circunstancia que se manifestará con la exhibición del correspondiente distintivo de conformidad, atendiendo lo dispuesto en el artículo 38.</w:t>
      </w:r>
    </w:p>
    <w:p w14:paraId="0816BFE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2. Durante los antedichos veinticuatro meses, los sistemas de información preexistentes a la entrada en vigor de este real decreto que dispusieren de los correspondientes Distintivos de Conformidad, derivados de Declaraciones o Certificaciones de conformidad con el ENS, podrán mantener su vigencia procediendo a su renovación de conformidad y en los términos señalados por el Real Decreto 3/2010, de 8 de enero, del que trajeron causa.</w:t>
      </w:r>
    </w:p>
    <w:p w14:paraId="6BCDE679"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3. Los nuevos sistemas de información aplicarán lo establecido en este real decreto desde su concepción.</w:t>
      </w:r>
    </w:p>
    <w:p w14:paraId="550FA811"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derogatoria única. Derogación normativa.</w:t>
      </w:r>
    </w:p>
    <w:p w14:paraId="54AF749C"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Queda derogado el Real Decreto 3/2010, de 8 de enero, por el que se regula el Esquema Nacional de Seguridad en el ámbito de la Administración Electrónica, así como cuantas disposiciones de igual o inferior rango que se opongan a lo dispuesto en este real decreto.</w:t>
      </w:r>
    </w:p>
    <w:p w14:paraId="6A1955BE"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final primera. Títulos competenciales.</w:t>
      </w:r>
    </w:p>
    <w:p w14:paraId="68FB4864"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Este real decreto se dicta en virtud de lo establecido en los artículos 149.1.18.ª, 149.1.21.ª y 149.1.29.ª de la Constitución, que atribuyen al Estado la competencia exclusiva sobre las bases del régimen jurídico de las administraciones públicas, las telecomunicaciones y la seguridad pública, respectivamente.</w:t>
      </w:r>
    </w:p>
    <w:p w14:paraId="0B151386"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lastRenderedPageBreak/>
        <w:t>Disposición final segunda. Desarrollo normativo.</w:t>
      </w:r>
    </w:p>
    <w:p w14:paraId="429AC46F"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Se habilita a la persona titular del Ministerio de Asuntos Económicos y Transformación Digital para dictar las disposiciones necesarias para la aplicación y desarrollo de lo establecido en este real decreto, sin perjuicio de las competencias de las comunidades autónomas de desarrollo y ejecución de la legislación básica del Estado.</w:t>
      </w:r>
    </w:p>
    <w:p w14:paraId="466EBE79" w14:textId="77777777" w:rsidR="00E81623" w:rsidRPr="00E81623" w:rsidRDefault="00E81623" w:rsidP="00E81623">
      <w:pPr>
        <w:shd w:val="clear" w:color="auto" w:fill="FFFFFF"/>
        <w:spacing w:before="360" w:after="180" w:line="240" w:lineRule="auto"/>
        <w:outlineLvl w:val="4"/>
        <w:rPr>
          <w:rFonts w:ascii="Verdana" w:eastAsia="Times New Roman" w:hAnsi="Verdana" w:cs="Times New Roman"/>
          <w:b/>
          <w:bCs/>
          <w:color w:val="000000"/>
          <w:sz w:val="28"/>
          <w:szCs w:val="28"/>
          <w:lang w:eastAsia="es-ES"/>
        </w:rPr>
      </w:pPr>
      <w:r w:rsidRPr="00E81623">
        <w:rPr>
          <w:rFonts w:ascii="Verdana" w:eastAsia="Times New Roman" w:hAnsi="Verdana" w:cs="Times New Roman"/>
          <w:b/>
          <w:bCs/>
          <w:color w:val="000000"/>
          <w:sz w:val="28"/>
          <w:szCs w:val="28"/>
          <w:lang w:eastAsia="es-ES"/>
        </w:rPr>
        <w:t>Disposición final tercera. Entrada en vigor.</w:t>
      </w:r>
    </w:p>
    <w:p w14:paraId="218E143B" w14:textId="77777777" w:rsidR="00E81623" w:rsidRPr="00E81623" w:rsidRDefault="00E81623" w:rsidP="00E81623">
      <w:pPr>
        <w:shd w:val="clear" w:color="auto" w:fill="FFFFFF"/>
        <w:spacing w:before="180" w:after="180" w:line="240" w:lineRule="auto"/>
        <w:ind w:firstLine="360"/>
        <w:jc w:val="both"/>
        <w:rPr>
          <w:rFonts w:ascii="Verdana" w:eastAsia="Times New Roman" w:hAnsi="Verdana" w:cs="Times New Roman"/>
          <w:color w:val="000000"/>
          <w:sz w:val="28"/>
          <w:szCs w:val="28"/>
          <w:lang w:eastAsia="es-ES"/>
        </w:rPr>
      </w:pPr>
      <w:r w:rsidRPr="00E81623">
        <w:rPr>
          <w:rFonts w:ascii="Verdana" w:eastAsia="Times New Roman" w:hAnsi="Verdana" w:cs="Times New Roman"/>
          <w:color w:val="000000"/>
          <w:sz w:val="28"/>
          <w:szCs w:val="28"/>
          <w:lang w:eastAsia="es-ES"/>
        </w:rPr>
        <w:t>Este real decreto entrará en vigor el día siguiente al de su publicación en el «Boletín Oficial del Estado».</w:t>
      </w:r>
    </w:p>
    <w:p w14:paraId="577F72F4" w14:textId="77777777" w:rsidR="00F34FA2" w:rsidRDefault="00F34FA2"/>
    <w:sectPr w:rsidR="00F34FA2" w:rsidSect="00E81623">
      <w:footerReference w:type="default" r:id="rId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C96A" w14:textId="77777777" w:rsidR="00037251" w:rsidRDefault="00037251" w:rsidP="00E81623">
      <w:pPr>
        <w:spacing w:after="0" w:line="240" w:lineRule="auto"/>
      </w:pPr>
      <w:r>
        <w:separator/>
      </w:r>
    </w:p>
  </w:endnote>
  <w:endnote w:type="continuationSeparator" w:id="0">
    <w:p w14:paraId="28971012" w14:textId="77777777" w:rsidR="00037251" w:rsidRDefault="00037251" w:rsidP="00E8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FB6C" w14:textId="714B0B41" w:rsidR="00E81623" w:rsidRDefault="00E81623">
    <w:pPr>
      <w:pStyle w:val="Piedepgina"/>
    </w:pPr>
    <w:r>
      <w:rPr>
        <w:noProof/>
      </w:rPr>
      <mc:AlternateContent>
        <mc:Choice Requires="wps">
          <w:drawing>
            <wp:anchor distT="0" distB="0" distL="114300" distR="114300" simplePos="0" relativeHeight="251659264" behindDoc="0" locked="0" layoutInCell="0" allowOverlap="1" wp14:anchorId="66FBB8B1" wp14:editId="6081402A">
              <wp:simplePos x="0" y="0"/>
              <wp:positionH relativeFrom="page">
                <wp:posOffset>0</wp:posOffset>
              </wp:positionH>
              <wp:positionV relativeFrom="page">
                <wp:posOffset>10227945</wp:posOffset>
              </wp:positionV>
              <wp:extent cx="7560310" cy="273050"/>
              <wp:effectExtent l="0" t="0" r="0" b="12700"/>
              <wp:wrapNone/>
              <wp:docPr id="1" name="MSIPCMecf9426bb46ad73512ce1de5"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E34709" w14:textId="0159570E" w:rsidR="00E81623" w:rsidRPr="00E81623" w:rsidRDefault="00E81623" w:rsidP="00E81623">
                          <w:pPr>
                            <w:spacing w:after="0"/>
                            <w:rPr>
                              <w:rFonts w:ascii="Calibri" w:hAnsi="Calibri" w:cs="Calibri"/>
                              <w:color w:val="000000"/>
                              <w:sz w:val="14"/>
                            </w:rPr>
                          </w:pPr>
                          <w:r w:rsidRPr="00E8162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FBB8B1" id="_x0000_t202" coordsize="21600,21600" o:spt="202" path="m,l,21600r21600,l21600,xe">
              <v:stroke joinstyle="miter"/>
              <v:path gradientshapeok="t" o:connecttype="rect"/>
            </v:shapetype>
            <v:shape id="MSIPCMecf9426bb46ad73512ce1de5"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2AE34709" w14:textId="0159570E" w:rsidR="00E81623" w:rsidRPr="00E81623" w:rsidRDefault="00E81623" w:rsidP="00E81623">
                    <w:pPr>
                      <w:spacing w:after="0"/>
                      <w:rPr>
                        <w:rFonts w:ascii="Calibri" w:hAnsi="Calibri" w:cs="Calibri"/>
                        <w:color w:val="000000"/>
                        <w:sz w:val="14"/>
                      </w:rPr>
                    </w:pPr>
                    <w:r w:rsidRPr="00E8162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4DAC" w14:textId="77777777" w:rsidR="00037251" w:rsidRDefault="00037251" w:rsidP="00E81623">
      <w:pPr>
        <w:spacing w:after="0" w:line="240" w:lineRule="auto"/>
      </w:pPr>
      <w:r>
        <w:separator/>
      </w:r>
    </w:p>
  </w:footnote>
  <w:footnote w:type="continuationSeparator" w:id="0">
    <w:p w14:paraId="7B088814" w14:textId="77777777" w:rsidR="00037251" w:rsidRDefault="00037251" w:rsidP="00E81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41D"/>
    <w:multiLevelType w:val="multilevel"/>
    <w:tmpl w:val="BBD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7DB7"/>
    <w:multiLevelType w:val="multilevel"/>
    <w:tmpl w:val="615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D69D6"/>
    <w:multiLevelType w:val="multilevel"/>
    <w:tmpl w:val="27F4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C09FE"/>
    <w:multiLevelType w:val="multilevel"/>
    <w:tmpl w:val="0ED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248AA"/>
    <w:multiLevelType w:val="multilevel"/>
    <w:tmpl w:val="B0C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34645"/>
    <w:multiLevelType w:val="multilevel"/>
    <w:tmpl w:val="212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56859"/>
    <w:multiLevelType w:val="multilevel"/>
    <w:tmpl w:val="E32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614C8"/>
    <w:multiLevelType w:val="multilevel"/>
    <w:tmpl w:val="D18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24258"/>
    <w:multiLevelType w:val="multilevel"/>
    <w:tmpl w:val="D66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45D10"/>
    <w:multiLevelType w:val="multilevel"/>
    <w:tmpl w:val="D90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623AB"/>
    <w:multiLevelType w:val="multilevel"/>
    <w:tmpl w:val="266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663523">
    <w:abstractNumId w:val="8"/>
  </w:num>
  <w:num w:numId="2" w16cid:durableId="1689218215">
    <w:abstractNumId w:val="5"/>
  </w:num>
  <w:num w:numId="3" w16cid:durableId="438258856">
    <w:abstractNumId w:val="3"/>
  </w:num>
  <w:num w:numId="4" w16cid:durableId="167210786">
    <w:abstractNumId w:val="0"/>
  </w:num>
  <w:num w:numId="5" w16cid:durableId="1088431505">
    <w:abstractNumId w:val="7"/>
  </w:num>
  <w:num w:numId="6" w16cid:durableId="1503929918">
    <w:abstractNumId w:val="1"/>
  </w:num>
  <w:num w:numId="7" w16cid:durableId="1129930682">
    <w:abstractNumId w:val="4"/>
  </w:num>
  <w:num w:numId="8" w16cid:durableId="840705377">
    <w:abstractNumId w:val="9"/>
  </w:num>
  <w:num w:numId="9" w16cid:durableId="654604935">
    <w:abstractNumId w:val="2"/>
  </w:num>
  <w:num w:numId="10" w16cid:durableId="1770003943">
    <w:abstractNumId w:val="6"/>
  </w:num>
  <w:num w:numId="11" w16cid:durableId="1777561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23"/>
    <w:rsid w:val="00037251"/>
    <w:rsid w:val="0004678A"/>
    <w:rsid w:val="00234A65"/>
    <w:rsid w:val="004B0C05"/>
    <w:rsid w:val="00E81623"/>
    <w:rsid w:val="00F34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617DE"/>
  <w15:chartTrackingRefBased/>
  <w15:docId w15:val="{B988071B-F50C-4F7D-A408-0DF931BA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81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E8162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E8162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81623"/>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E81623"/>
    <w:rPr>
      <w:rFonts w:ascii="Times New Roman" w:eastAsia="Times New Roman" w:hAnsi="Times New Roman" w:cs="Times New Roman"/>
      <w:b/>
      <w:bCs/>
      <w:sz w:val="20"/>
      <w:szCs w:val="20"/>
      <w:lang w:eastAsia="es-ES"/>
    </w:rPr>
  </w:style>
  <w:style w:type="paragraph" w:customStyle="1" w:styleId="centroredonda">
    <w:name w:val="centro_redonda"/>
    <w:basedOn w:val="Normal"/>
    <w:rsid w:val="00E8162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E8162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
    <w:name w:val="parrafo"/>
    <w:basedOn w:val="Normal"/>
    <w:rsid w:val="00E816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81623"/>
    <w:rPr>
      <w:i/>
      <w:iCs/>
    </w:rPr>
  </w:style>
  <w:style w:type="character" w:customStyle="1" w:styleId="Ttulo3Car">
    <w:name w:val="Título 3 Car"/>
    <w:basedOn w:val="Fuentedeprrafopredeter"/>
    <w:link w:val="Ttulo3"/>
    <w:uiPriority w:val="9"/>
    <w:semiHidden/>
    <w:rsid w:val="00E816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816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81623"/>
    <w:rPr>
      <w:color w:val="0000FF"/>
      <w:u w:val="single"/>
    </w:rPr>
  </w:style>
  <w:style w:type="paragraph" w:styleId="Encabezado">
    <w:name w:val="header"/>
    <w:basedOn w:val="Normal"/>
    <w:link w:val="EncabezadoCar"/>
    <w:uiPriority w:val="99"/>
    <w:unhideWhenUsed/>
    <w:rsid w:val="00E816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1623"/>
  </w:style>
  <w:style w:type="paragraph" w:styleId="Piedepgina">
    <w:name w:val="footer"/>
    <w:basedOn w:val="Normal"/>
    <w:link w:val="PiedepginaCar"/>
    <w:uiPriority w:val="99"/>
    <w:unhideWhenUsed/>
    <w:rsid w:val="00E816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1147">
      <w:bodyDiv w:val="1"/>
      <w:marLeft w:val="0"/>
      <w:marRight w:val="0"/>
      <w:marTop w:val="0"/>
      <w:marBottom w:val="0"/>
      <w:divBdr>
        <w:top w:val="none" w:sz="0" w:space="0" w:color="auto"/>
        <w:left w:val="none" w:sz="0" w:space="0" w:color="auto"/>
        <w:bottom w:val="none" w:sz="0" w:space="0" w:color="auto"/>
        <w:right w:val="none" w:sz="0" w:space="0" w:color="auto"/>
      </w:divBdr>
    </w:div>
    <w:div w:id="975137456">
      <w:bodyDiv w:val="1"/>
      <w:marLeft w:val="0"/>
      <w:marRight w:val="0"/>
      <w:marTop w:val="0"/>
      <w:marBottom w:val="0"/>
      <w:divBdr>
        <w:top w:val="none" w:sz="0" w:space="0" w:color="auto"/>
        <w:left w:val="none" w:sz="0" w:space="0" w:color="auto"/>
        <w:bottom w:val="none" w:sz="0" w:space="0" w:color="auto"/>
        <w:right w:val="none" w:sz="0" w:space="0" w:color="auto"/>
      </w:divBdr>
      <w:divsChild>
        <w:div w:id="1194920548">
          <w:marLeft w:val="0"/>
          <w:marRight w:val="0"/>
          <w:marTop w:val="0"/>
          <w:marBottom w:val="0"/>
          <w:divBdr>
            <w:top w:val="none" w:sz="0" w:space="0" w:color="auto"/>
            <w:left w:val="none" w:sz="0" w:space="0" w:color="auto"/>
            <w:bottom w:val="none" w:sz="0" w:space="0" w:color="auto"/>
            <w:right w:val="none" w:sz="0" w:space="0" w:color="auto"/>
          </w:divBdr>
        </w:div>
        <w:div w:id="898978753">
          <w:marLeft w:val="0"/>
          <w:marRight w:val="0"/>
          <w:marTop w:val="0"/>
          <w:marBottom w:val="0"/>
          <w:divBdr>
            <w:top w:val="none" w:sz="0" w:space="0" w:color="auto"/>
            <w:left w:val="none" w:sz="0" w:space="0" w:color="auto"/>
            <w:bottom w:val="none" w:sz="0" w:space="0" w:color="auto"/>
            <w:right w:val="none" w:sz="0" w:space="0" w:color="auto"/>
          </w:divBdr>
        </w:div>
        <w:div w:id="729307864">
          <w:marLeft w:val="0"/>
          <w:marRight w:val="0"/>
          <w:marTop w:val="0"/>
          <w:marBottom w:val="0"/>
          <w:divBdr>
            <w:top w:val="none" w:sz="0" w:space="0" w:color="auto"/>
            <w:left w:val="none" w:sz="0" w:space="0" w:color="auto"/>
            <w:bottom w:val="none" w:sz="0" w:space="0" w:color="auto"/>
            <w:right w:val="none" w:sz="0" w:space="0" w:color="auto"/>
          </w:divBdr>
        </w:div>
        <w:div w:id="650330245">
          <w:marLeft w:val="0"/>
          <w:marRight w:val="0"/>
          <w:marTop w:val="0"/>
          <w:marBottom w:val="0"/>
          <w:divBdr>
            <w:top w:val="none" w:sz="0" w:space="0" w:color="auto"/>
            <w:left w:val="none" w:sz="0" w:space="0" w:color="auto"/>
            <w:bottom w:val="none" w:sz="0" w:space="0" w:color="auto"/>
            <w:right w:val="none" w:sz="0" w:space="0" w:color="auto"/>
          </w:divBdr>
        </w:div>
        <w:div w:id="1389914909">
          <w:marLeft w:val="0"/>
          <w:marRight w:val="0"/>
          <w:marTop w:val="0"/>
          <w:marBottom w:val="0"/>
          <w:divBdr>
            <w:top w:val="none" w:sz="0" w:space="0" w:color="auto"/>
            <w:left w:val="none" w:sz="0" w:space="0" w:color="auto"/>
            <w:bottom w:val="none" w:sz="0" w:space="0" w:color="auto"/>
            <w:right w:val="none" w:sz="0" w:space="0" w:color="auto"/>
          </w:divBdr>
        </w:div>
        <w:div w:id="1428574639">
          <w:marLeft w:val="0"/>
          <w:marRight w:val="0"/>
          <w:marTop w:val="0"/>
          <w:marBottom w:val="0"/>
          <w:divBdr>
            <w:top w:val="none" w:sz="0" w:space="0" w:color="auto"/>
            <w:left w:val="none" w:sz="0" w:space="0" w:color="auto"/>
            <w:bottom w:val="none" w:sz="0" w:space="0" w:color="auto"/>
            <w:right w:val="none" w:sz="0" w:space="0" w:color="auto"/>
          </w:divBdr>
        </w:div>
        <w:div w:id="1099905687">
          <w:marLeft w:val="0"/>
          <w:marRight w:val="0"/>
          <w:marTop w:val="0"/>
          <w:marBottom w:val="0"/>
          <w:divBdr>
            <w:top w:val="none" w:sz="0" w:space="0" w:color="auto"/>
            <w:left w:val="none" w:sz="0" w:space="0" w:color="auto"/>
            <w:bottom w:val="none" w:sz="0" w:space="0" w:color="auto"/>
            <w:right w:val="none" w:sz="0" w:space="0" w:color="auto"/>
          </w:divBdr>
        </w:div>
        <w:div w:id="1566574583">
          <w:marLeft w:val="0"/>
          <w:marRight w:val="0"/>
          <w:marTop w:val="0"/>
          <w:marBottom w:val="0"/>
          <w:divBdr>
            <w:top w:val="none" w:sz="0" w:space="0" w:color="auto"/>
            <w:left w:val="none" w:sz="0" w:space="0" w:color="auto"/>
            <w:bottom w:val="none" w:sz="0" w:space="0" w:color="auto"/>
            <w:right w:val="none" w:sz="0" w:space="0" w:color="auto"/>
          </w:divBdr>
        </w:div>
        <w:div w:id="617420811">
          <w:marLeft w:val="0"/>
          <w:marRight w:val="0"/>
          <w:marTop w:val="0"/>
          <w:marBottom w:val="0"/>
          <w:divBdr>
            <w:top w:val="none" w:sz="0" w:space="0" w:color="auto"/>
            <w:left w:val="none" w:sz="0" w:space="0" w:color="auto"/>
            <w:bottom w:val="none" w:sz="0" w:space="0" w:color="auto"/>
            <w:right w:val="none" w:sz="0" w:space="0" w:color="auto"/>
          </w:divBdr>
        </w:div>
        <w:div w:id="1997950143">
          <w:marLeft w:val="0"/>
          <w:marRight w:val="0"/>
          <w:marTop w:val="0"/>
          <w:marBottom w:val="0"/>
          <w:divBdr>
            <w:top w:val="none" w:sz="0" w:space="0" w:color="auto"/>
            <w:left w:val="none" w:sz="0" w:space="0" w:color="auto"/>
            <w:bottom w:val="none" w:sz="0" w:space="0" w:color="auto"/>
            <w:right w:val="none" w:sz="0" w:space="0" w:color="auto"/>
          </w:divBdr>
        </w:div>
        <w:div w:id="1299725602">
          <w:marLeft w:val="0"/>
          <w:marRight w:val="0"/>
          <w:marTop w:val="0"/>
          <w:marBottom w:val="0"/>
          <w:divBdr>
            <w:top w:val="none" w:sz="0" w:space="0" w:color="auto"/>
            <w:left w:val="none" w:sz="0" w:space="0" w:color="auto"/>
            <w:bottom w:val="none" w:sz="0" w:space="0" w:color="auto"/>
            <w:right w:val="none" w:sz="0" w:space="0" w:color="auto"/>
          </w:divBdr>
        </w:div>
        <w:div w:id="1358191078">
          <w:marLeft w:val="0"/>
          <w:marRight w:val="0"/>
          <w:marTop w:val="0"/>
          <w:marBottom w:val="0"/>
          <w:divBdr>
            <w:top w:val="none" w:sz="0" w:space="0" w:color="auto"/>
            <w:left w:val="none" w:sz="0" w:space="0" w:color="auto"/>
            <w:bottom w:val="none" w:sz="0" w:space="0" w:color="auto"/>
            <w:right w:val="none" w:sz="0" w:space="0" w:color="auto"/>
          </w:divBdr>
        </w:div>
        <w:div w:id="1832207987">
          <w:marLeft w:val="0"/>
          <w:marRight w:val="0"/>
          <w:marTop w:val="0"/>
          <w:marBottom w:val="0"/>
          <w:divBdr>
            <w:top w:val="none" w:sz="0" w:space="0" w:color="auto"/>
            <w:left w:val="none" w:sz="0" w:space="0" w:color="auto"/>
            <w:bottom w:val="none" w:sz="0" w:space="0" w:color="auto"/>
            <w:right w:val="none" w:sz="0" w:space="0" w:color="auto"/>
          </w:divBdr>
        </w:div>
        <w:div w:id="1022365454">
          <w:marLeft w:val="0"/>
          <w:marRight w:val="0"/>
          <w:marTop w:val="0"/>
          <w:marBottom w:val="0"/>
          <w:divBdr>
            <w:top w:val="none" w:sz="0" w:space="0" w:color="auto"/>
            <w:left w:val="none" w:sz="0" w:space="0" w:color="auto"/>
            <w:bottom w:val="none" w:sz="0" w:space="0" w:color="auto"/>
            <w:right w:val="none" w:sz="0" w:space="0" w:color="auto"/>
          </w:divBdr>
        </w:div>
        <w:div w:id="287904228">
          <w:marLeft w:val="0"/>
          <w:marRight w:val="0"/>
          <w:marTop w:val="0"/>
          <w:marBottom w:val="0"/>
          <w:divBdr>
            <w:top w:val="none" w:sz="0" w:space="0" w:color="auto"/>
            <w:left w:val="none" w:sz="0" w:space="0" w:color="auto"/>
            <w:bottom w:val="none" w:sz="0" w:space="0" w:color="auto"/>
            <w:right w:val="none" w:sz="0" w:space="0" w:color="auto"/>
          </w:divBdr>
        </w:div>
        <w:div w:id="1702246748">
          <w:marLeft w:val="0"/>
          <w:marRight w:val="0"/>
          <w:marTop w:val="0"/>
          <w:marBottom w:val="0"/>
          <w:divBdr>
            <w:top w:val="none" w:sz="0" w:space="0" w:color="auto"/>
            <w:left w:val="none" w:sz="0" w:space="0" w:color="auto"/>
            <w:bottom w:val="none" w:sz="0" w:space="0" w:color="auto"/>
            <w:right w:val="none" w:sz="0" w:space="0" w:color="auto"/>
          </w:divBdr>
        </w:div>
        <w:div w:id="168301154">
          <w:marLeft w:val="0"/>
          <w:marRight w:val="0"/>
          <w:marTop w:val="0"/>
          <w:marBottom w:val="0"/>
          <w:divBdr>
            <w:top w:val="none" w:sz="0" w:space="0" w:color="auto"/>
            <w:left w:val="none" w:sz="0" w:space="0" w:color="auto"/>
            <w:bottom w:val="none" w:sz="0" w:space="0" w:color="auto"/>
            <w:right w:val="none" w:sz="0" w:space="0" w:color="auto"/>
          </w:divBdr>
        </w:div>
        <w:div w:id="1210073764">
          <w:marLeft w:val="0"/>
          <w:marRight w:val="0"/>
          <w:marTop w:val="0"/>
          <w:marBottom w:val="0"/>
          <w:divBdr>
            <w:top w:val="none" w:sz="0" w:space="0" w:color="auto"/>
            <w:left w:val="none" w:sz="0" w:space="0" w:color="auto"/>
            <w:bottom w:val="none" w:sz="0" w:space="0" w:color="auto"/>
            <w:right w:val="none" w:sz="0" w:space="0" w:color="auto"/>
          </w:divBdr>
        </w:div>
        <w:div w:id="708605853">
          <w:marLeft w:val="0"/>
          <w:marRight w:val="0"/>
          <w:marTop w:val="0"/>
          <w:marBottom w:val="0"/>
          <w:divBdr>
            <w:top w:val="none" w:sz="0" w:space="0" w:color="auto"/>
            <w:left w:val="none" w:sz="0" w:space="0" w:color="auto"/>
            <w:bottom w:val="none" w:sz="0" w:space="0" w:color="auto"/>
            <w:right w:val="none" w:sz="0" w:space="0" w:color="auto"/>
          </w:divBdr>
        </w:div>
        <w:div w:id="1680498268">
          <w:marLeft w:val="0"/>
          <w:marRight w:val="0"/>
          <w:marTop w:val="0"/>
          <w:marBottom w:val="0"/>
          <w:divBdr>
            <w:top w:val="none" w:sz="0" w:space="0" w:color="auto"/>
            <w:left w:val="none" w:sz="0" w:space="0" w:color="auto"/>
            <w:bottom w:val="none" w:sz="0" w:space="0" w:color="auto"/>
            <w:right w:val="none" w:sz="0" w:space="0" w:color="auto"/>
          </w:divBdr>
        </w:div>
        <w:div w:id="489491221">
          <w:marLeft w:val="0"/>
          <w:marRight w:val="0"/>
          <w:marTop w:val="0"/>
          <w:marBottom w:val="0"/>
          <w:divBdr>
            <w:top w:val="none" w:sz="0" w:space="0" w:color="auto"/>
            <w:left w:val="none" w:sz="0" w:space="0" w:color="auto"/>
            <w:bottom w:val="none" w:sz="0" w:space="0" w:color="auto"/>
            <w:right w:val="none" w:sz="0" w:space="0" w:color="auto"/>
          </w:divBdr>
        </w:div>
        <w:div w:id="966621542">
          <w:marLeft w:val="0"/>
          <w:marRight w:val="0"/>
          <w:marTop w:val="0"/>
          <w:marBottom w:val="0"/>
          <w:divBdr>
            <w:top w:val="none" w:sz="0" w:space="0" w:color="auto"/>
            <w:left w:val="none" w:sz="0" w:space="0" w:color="auto"/>
            <w:bottom w:val="none" w:sz="0" w:space="0" w:color="auto"/>
            <w:right w:val="none" w:sz="0" w:space="0" w:color="auto"/>
          </w:divBdr>
        </w:div>
        <w:div w:id="1761834607">
          <w:marLeft w:val="0"/>
          <w:marRight w:val="0"/>
          <w:marTop w:val="0"/>
          <w:marBottom w:val="0"/>
          <w:divBdr>
            <w:top w:val="none" w:sz="0" w:space="0" w:color="auto"/>
            <w:left w:val="none" w:sz="0" w:space="0" w:color="auto"/>
            <w:bottom w:val="none" w:sz="0" w:space="0" w:color="auto"/>
            <w:right w:val="none" w:sz="0" w:space="0" w:color="auto"/>
          </w:divBdr>
        </w:div>
        <w:div w:id="432241329">
          <w:marLeft w:val="0"/>
          <w:marRight w:val="0"/>
          <w:marTop w:val="0"/>
          <w:marBottom w:val="0"/>
          <w:divBdr>
            <w:top w:val="none" w:sz="0" w:space="0" w:color="auto"/>
            <w:left w:val="none" w:sz="0" w:space="0" w:color="auto"/>
            <w:bottom w:val="none" w:sz="0" w:space="0" w:color="auto"/>
            <w:right w:val="none" w:sz="0" w:space="0" w:color="auto"/>
          </w:divBdr>
        </w:div>
        <w:div w:id="285626730">
          <w:marLeft w:val="0"/>
          <w:marRight w:val="0"/>
          <w:marTop w:val="0"/>
          <w:marBottom w:val="0"/>
          <w:divBdr>
            <w:top w:val="none" w:sz="0" w:space="0" w:color="auto"/>
            <w:left w:val="none" w:sz="0" w:space="0" w:color="auto"/>
            <w:bottom w:val="none" w:sz="0" w:space="0" w:color="auto"/>
            <w:right w:val="none" w:sz="0" w:space="0" w:color="auto"/>
          </w:divBdr>
        </w:div>
        <w:div w:id="1784569008">
          <w:marLeft w:val="0"/>
          <w:marRight w:val="0"/>
          <w:marTop w:val="0"/>
          <w:marBottom w:val="0"/>
          <w:divBdr>
            <w:top w:val="none" w:sz="0" w:space="0" w:color="auto"/>
            <w:left w:val="none" w:sz="0" w:space="0" w:color="auto"/>
            <w:bottom w:val="none" w:sz="0" w:space="0" w:color="auto"/>
            <w:right w:val="none" w:sz="0" w:space="0" w:color="auto"/>
          </w:divBdr>
        </w:div>
        <w:div w:id="2014215668">
          <w:marLeft w:val="0"/>
          <w:marRight w:val="0"/>
          <w:marTop w:val="0"/>
          <w:marBottom w:val="0"/>
          <w:divBdr>
            <w:top w:val="none" w:sz="0" w:space="0" w:color="auto"/>
            <w:left w:val="none" w:sz="0" w:space="0" w:color="auto"/>
            <w:bottom w:val="none" w:sz="0" w:space="0" w:color="auto"/>
            <w:right w:val="none" w:sz="0" w:space="0" w:color="auto"/>
          </w:divBdr>
        </w:div>
        <w:div w:id="587227013">
          <w:marLeft w:val="0"/>
          <w:marRight w:val="0"/>
          <w:marTop w:val="0"/>
          <w:marBottom w:val="0"/>
          <w:divBdr>
            <w:top w:val="none" w:sz="0" w:space="0" w:color="auto"/>
            <w:left w:val="none" w:sz="0" w:space="0" w:color="auto"/>
            <w:bottom w:val="none" w:sz="0" w:space="0" w:color="auto"/>
            <w:right w:val="none" w:sz="0" w:space="0" w:color="auto"/>
          </w:divBdr>
        </w:div>
        <w:div w:id="327371848">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925922598">
          <w:marLeft w:val="0"/>
          <w:marRight w:val="0"/>
          <w:marTop w:val="0"/>
          <w:marBottom w:val="0"/>
          <w:divBdr>
            <w:top w:val="none" w:sz="0" w:space="0" w:color="auto"/>
            <w:left w:val="none" w:sz="0" w:space="0" w:color="auto"/>
            <w:bottom w:val="none" w:sz="0" w:space="0" w:color="auto"/>
            <w:right w:val="none" w:sz="0" w:space="0" w:color="auto"/>
          </w:divBdr>
        </w:div>
        <w:div w:id="1556159181">
          <w:marLeft w:val="0"/>
          <w:marRight w:val="0"/>
          <w:marTop w:val="0"/>
          <w:marBottom w:val="0"/>
          <w:divBdr>
            <w:top w:val="none" w:sz="0" w:space="0" w:color="auto"/>
            <w:left w:val="none" w:sz="0" w:space="0" w:color="auto"/>
            <w:bottom w:val="none" w:sz="0" w:space="0" w:color="auto"/>
            <w:right w:val="none" w:sz="0" w:space="0" w:color="auto"/>
          </w:divBdr>
        </w:div>
        <w:div w:id="1010915495">
          <w:marLeft w:val="0"/>
          <w:marRight w:val="0"/>
          <w:marTop w:val="0"/>
          <w:marBottom w:val="0"/>
          <w:divBdr>
            <w:top w:val="none" w:sz="0" w:space="0" w:color="auto"/>
            <w:left w:val="none" w:sz="0" w:space="0" w:color="auto"/>
            <w:bottom w:val="none" w:sz="0" w:space="0" w:color="auto"/>
            <w:right w:val="none" w:sz="0" w:space="0" w:color="auto"/>
          </w:divBdr>
        </w:div>
        <w:div w:id="872767921">
          <w:marLeft w:val="0"/>
          <w:marRight w:val="0"/>
          <w:marTop w:val="0"/>
          <w:marBottom w:val="0"/>
          <w:divBdr>
            <w:top w:val="none" w:sz="0" w:space="0" w:color="auto"/>
            <w:left w:val="none" w:sz="0" w:space="0" w:color="auto"/>
            <w:bottom w:val="none" w:sz="0" w:space="0" w:color="auto"/>
            <w:right w:val="none" w:sz="0" w:space="0" w:color="auto"/>
          </w:divBdr>
        </w:div>
        <w:div w:id="1772508258">
          <w:marLeft w:val="0"/>
          <w:marRight w:val="0"/>
          <w:marTop w:val="0"/>
          <w:marBottom w:val="0"/>
          <w:divBdr>
            <w:top w:val="none" w:sz="0" w:space="0" w:color="auto"/>
            <w:left w:val="none" w:sz="0" w:space="0" w:color="auto"/>
            <w:bottom w:val="none" w:sz="0" w:space="0" w:color="auto"/>
            <w:right w:val="none" w:sz="0" w:space="0" w:color="auto"/>
          </w:divBdr>
        </w:div>
        <w:div w:id="1202858862">
          <w:marLeft w:val="0"/>
          <w:marRight w:val="0"/>
          <w:marTop w:val="0"/>
          <w:marBottom w:val="0"/>
          <w:divBdr>
            <w:top w:val="none" w:sz="0" w:space="0" w:color="auto"/>
            <w:left w:val="none" w:sz="0" w:space="0" w:color="auto"/>
            <w:bottom w:val="none" w:sz="0" w:space="0" w:color="auto"/>
            <w:right w:val="none" w:sz="0" w:space="0" w:color="auto"/>
          </w:divBdr>
        </w:div>
        <w:div w:id="503084014">
          <w:marLeft w:val="0"/>
          <w:marRight w:val="0"/>
          <w:marTop w:val="0"/>
          <w:marBottom w:val="0"/>
          <w:divBdr>
            <w:top w:val="none" w:sz="0" w:space="0" w:color="auto"/>
            <w:left w:val="none" w:sz="0" w:space="0" w:color="auto"/>
            <w:bottom w:val="none" w:sz="0" w:space="0" w:color="auto"/>
            <w:right w:val="none" w:sz="0" w:space="0" w:color="auto"/>
          </w:divBdr>
        </w:div>
        <w:div w:id="390233348">
          <w:marLeft w:val="0"/>
          <w:marRight w:val="0"/>
          <w:marTop w:val="0"/>
          <w:marBottom w:val="0"/>
          <w:divBdr>
            <w:top w:val="none" w:sz="0" w:space="0" w:color="auto"/>
            <w:left w:val="none" w:sz="0" w:space="0" w:color="auto"/>
            <w:bottom w:val="none" w:sz="0" w:space="0" w:color="auto"/>
            <w:right w:val="none" w:sz="0" w:space="0" w:color="auto"/>
          </w:divBdr>
        </w:div>
        <w:div w:id="624046490">
          <w:marLeft w:val="0"/>
          <w:marRight w:val="0"/>
          <w:marTop w:val="0"/>
          <w:marBottom w:val="0"/>
          <w:divBdr>
            <w:top w:val="none" w:sz="0" w:space="0" w:color="auto"/>
            <w:left w:val="none" w:sz="0" w:space="0" w:color="auto"/>
            <w:bottom w:val="none" w:sz="0" w:space="0" w:color="auto"/>
            <w:right w:val="none" w:sz="0" w:space="0" w:color="auto"/>
          </w:divBdr>
        </w:div>
        <w:div w:id="1746683639">
          <w:marLeft w:val="0"/>
          <w:marRight w:val="0"/>
          <w:marTop w:val="0"/>
          <w:marBottom w:val="0"/>
          <w:divBdr>
            <w:top w:val="none" w:sz="0" w:space="0" w:color="auto"/>
            <w:left w:val="none" w:sz="0" w:space="0" w:color="auto"/>
            <w:bottom w:val="none" w:sz="0" w:space="0" w:color="auto"/>
            <w:right w:val="none" w:sz="0" w:space="0" w:color="auto"/>
          </w:divBdr>
        </w:div>
        <w:div w:id="241526173">
          <w:marLeft w:val="0"/>
          <w:marRight w:val="0"/>
          <w:marTop w:val="0"/>
          <w:marBottom w:val="0"/>
          <w:divBdr>
            <w:top w:val="none" w:sz="0" w:space="0" w:color="auto"/>
            <w:left w:val="none" w:sz="0" w:space="0" w:color="auto"/>
            <w:bottom w:val="none" w:sz="0" w:space="0" w:color="auto"/>
            <w:right w:val="none" w:sz="0" w:space="0" w:color="auto"/>
          </w:divBdr>
        </w:div>
        <w:div w:id="1617712096">
          <w:marLeft w:val="0"/>
          <w:marRight w:val="0"/>
          <w:marTop w:val="0"/>
          <w:marBottom w:val="0"/>
          <w:divBdr>
            <w:top w:val="none" w:sz="0" w:space="0" w:color="auto"/>
            <w:left w:val="none" w:sz="0" w:space="0" w:color="auto"/>
            <w:bottom w:val="none" w:sz="0" w:space="0" w:color="auto"/>
            <w:right w:val="none" w:sz="0" w:space="0" w:color="auto"/>
          </w:divBdr>
        </w:div>
        <w:div w:id="1604654832">
          <w:marLeft w:val="0"/>
          <w:marRight w:val="0"/>
          <w:marTop w:val="0"/>
          <w:marBottom w:val="0"/>
          <w:divBdr>
            <w:top w:val="none" w:sz="0" w:space="0" w:color="auto"/>
            <w:left w:val="none" w:sz="0" w:space="0" w:color="auto"/>
            <w:bottom w:val="none" w:sz="0" w:space="0" w:color="auto"/>
            <w:right w:val="none" w:sz="0" w:space="0" w:color="auto"/>
          </w:divBdr>
        </w:div>
        <w:div w:id="106776314">
          <w:marLeft w:val="0"/>
          <w:marRight w:val="0"/>
          <w:marTop w:val="0"/>
          <w:marBottom w:val="0"/>
          <w:divBdr>
            <w:top w:val="none" w:sz="0" w:space="0" w:color="auto"/>
            <w:left w:val="none" w:sz="0" w:space="0" w:color="auto"/>
            <w:bottom w:val="none" w:sz="0" w:space="0" w:color="auto"/>
            <w:right w:val="none" w:sz="0" w:space="0" w:color="auto"/>
          </w:divBdr>
        </w:div>
        <w:div w:id="2092386637">
          <w:marLeft w:val="0"/>
          <w:marRight w:val="0"/>
          <w:marTop w:val="0"/>
          <w:marBottom w:val="0"/>
          <w:divBdr>
            <w:top w:val="none" w:sz="0" w:space="0" w:color="auto"/>
            <w:left w:val="none" w:sz="0" w:space="0" w:color="auto"/>
            <w:bottom w:val="none" w:sz="0" w:space="0" w:color="auto"/>
            <w:right w:val="none" w:sz="0" w:space="0" w:color="auto"/>
          </w:divBdr>
        </w:div>
        <w:div w:id="816335577">
          <w:marLeft w:val="0"/>
          <w:marRight w:val="0"/>
          <w:marTop w:val="0"/>
          <w:marBottom w:val="0"/>
          <w:divBdr>
            <w:top w:val="none" w:sz="0" w:space="0" w:color="auto"/>
            <w:left w:val="none" w:sz="0" w:space="0" w:color="auto"/>
            <w:bottom w:val="none" w:sz="0" w:space="0" w:color="auto"/>
            <w:right w:val="none" w:sz="0" w:space="0" w:color="auto"/>
          </w:divBdr>
        </w:div>
        <w:div w:id="49962835">
          <w:marLeft w:val="0"/>
          <w:marRight w:val="0"/>
          <w:marTop w:val="0"/>
          <w:marBottom w:val="0"/>
          <w:divBdr>
            <w:top w:val="none" w:sz="0" w:space="0" w:color="auto"/>
            <w:left w:val="none" w:sz="0" w:space="0" w:color="auto"/>
            <w:bottom w:val="none" w:sz="0" w:space="0" w:color="auto"/>
            <w:right w:val="none" w:sz="0" w:space="0" w:color="auto"/>
          </w:divBdr>
        </w:div>
        <w:div w:id="372704241">
          <w:marLeft w:val="0"/>
          <w:marRight w:val="0"/>
          <w:marTop w:val="0"/>
          <w:marBottom w:val="0"/>
          <w:divBdr>
            <w:top w:val="none" w:sz="0" w:space="0" w:color="auto"/>
            <w:left w:val="none" w:sz="0" w:space="0" w:color="auto"/>
            <w:bottom w:val="none" w:sz="0" w:space="0" w:color="auto"/>
            <w:right w:val="none" w:sz="0" w:space="0" w:color="auto"/>
          </w:divBdr>
        </w:div>
        <w:div w:id="798648748">
          <w:marLeft w:val="0"/>
          <w:marRight w:val="0"/>
          <w:marTop w:val="0"/>
          <w:marBottom w:val="0"/>
          <w:divBdr>
            <w:top w:val="none" w:sz="0" w:space="0" w:color="auto"/>
            <w:left w:val="none" w:sz="0" w:space="0" w:color="auto"/>
            <w:bottom w:val="none" w:sz="0" w:space="0" w:color="auto"/>
            <w:right w:val="none" w:sz="0" w:space="0" w:color="auto"/>
          </w:divBdr>
        </w:div>
        <w:div w:id="467741225">
          <w:marLeft w:val="0"/>
          <w:marRight w:val="0"/>
          <w:marTop w:val="0"/>
          <w:marBottom w:val="0"/>
          <w:divBdr>
            <w:top w:val="none" w:sz="0" w:space="0" w:color="auto"/>
            <w:left w:val="none" w:sz="0" w:space="0" w:color="auto"/>
            <w:bottom w:val="none" w:sz="0" w:space="0" w:color="auto"/>
            <w:right w:val="none" w:sz="0" w:space="0" w:color="auto"/>
          </w:divBdr>
        </w:div>
        <w:div w:id="1873027923">
          <w:marLeft w:val="0"/>
          <w:marRight w:val="0"/>
          <w:marTop w:val="0"/>
          <w:marBottom w:val="0"/>
          <w:divBdr>
            <w:top w:val="none" w:sz="0" w:space="0" w:color="auto"/>
            <w:left w:val="none" w:sz="0" w:space="0" w:color="auto"/>
            <w:bottom w:val="none" w:sz="0" w:space="0" w:color="auto"/>
            <w:right w:val="none" w:sz="0" w:space="0" w:color="auto"/>
          </w:divBdr>
        </w:div>
        <w:div w:id="1101609357">
          <w:marLeft w:val="0"/>
          <w:marRight w:val="0"/>
          <w:marTop w:val="0"/>
          <w:marBottom w:val="0"/>
          <w:divBdr>
            <w:top w:val="none" w:sz="0" w:space="0" w:color="auto"/>
            <w:left w:val="none" w:sz="0" w:space="0" w:color="auto"/>
            <w:bottom w:val="none" w:sz="0" w:space="0" w:color="auto"/>
            <w:right w:val="none" w:sz="0" w:space="0" w:color="auto"/>
          </w:divBdr>
        </w:div>
        <w:div w:id="1869440538">
          <w:marLeft w:val="0"/>
          <w:marRight w:val="0"/>
          <w:marTop w:val="0"/>
          <w:marBottom w:val="0"/>
          <w:divBdr>
            <w:top w:val="none" w:sz="0" w:space="0" w:color="auto"/>
            <w:left w:val="none" w:sz="0" w:space="0" w:color="auto"/>
            <w:bottom w:val="none" w:sz="0" w:space="0" w:color="auto"/>
            <w:right w:val="none" w:sz="0" w:space="0" w:color="auto"/>
          </w:divBdr>
        </w:div>
        <w:div w:id="699165792">
          <w:marLeft w:val="0"/>
          <w:marRight w:val="0"/>
          <w:marTop w:val="0"/>
          <w:marBottom w:val="0"/>
          <w:divBdr>
            <w:top w:val="none" w:sz="0" w:space="0" w:color="auto"/>
            <w:left w:val="none" w:sz="0" w:space="0" w:color="auto"/>
            <w:bottom w:val="none" w:sz="0" w:space="0" w:color="auto"/>
            <w:right w:val="none" w:sz="0" w:space="0" w:color="auto"/>
          </w:divBdr>
        </w:div>
        <w:div w:id="1075399125">
          <w:marLeft w:val="0"/>
          <w:marRight w:val="0"/>
          <w:marTop w:val="0"/>
          <w:marBottom w:val="0"/>
          <w:divBdr>
            <w:top w:val="none" w:sz="0" w:space="0" w:color="auto"/>
            <w:left w:val="none" w:sz="0" w:space="0" w:color="auto"/>
            <w:bottom w:val="none" w:sz="0" w:space="0" w:color="auto"/>
            <w:right w:val="none" w:sz="0" w:space="0" w:color="auto"/>
          </w:divBdr>
        </w:div>
        <w:div w:id="284773913">
          <w:marLeft w:val="0"/>
          <w:marRight w:val="0"/>
          <w:marTop w:val="0"/>
          <w:marBottom w:val="0"/>
          <w:divBdr>
            <w:top w:val="none" w:sz="0" w:space="0" w:color="auto"/>
            <w:left w:val="none" w:sz="0" w:space="0" w:color="auto"/>
            <w:bottom w:val="none" w:sz="0" w:space="0" w:color="auto"/>
            <w:right w:val="none" w:sz="0" w:space="0" w:color="auto"/>
          </w:divBdr>
        </w:div>
        <w:div w:id="110619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e.es/buscar/act.php?id=BOE-A-2022-7191&amp;p=20220504&amp;tn=1" TargetMode="External"/><Relationship Id="rId21" Type="http://schemas.openxmlformats.org/officeDocument/2006/relationships/hyperlink" Target="https://www.boe.es/buscar/act.php?id=BOE-A-2022-7191&amp;p=20220504&amp;tn=1" TargetMode="External"/><Relationship Id="rId42" Type="http://schemas.openxmlformats.org/officeDocument/2006/relationships/hyperlink" Target="https://www.boe.es/buscar/act.php?id=BOE-A-2022-7191&amp;p=20220504&amp;tn=1" TargetMode="External"/><Relationship Id="rId47" Type="http://schemas.openxmlformats.org/officeDocument/2006/relationships/hyperlink" Target="https://www.boe.es/buscar/act.php?id=BOE-A-2022-7191&amp;p=20220504&amp;tn=1" TargetMode="External"/><Relationship Id="rId63" Type="http://schemas.openxmlformats.org/officeDocument/2006/relationships/hyperlink" Target="https://www.boe.es/buscar/act.php?id=BOE-A-2022-7191&amp;p=20220504&amp;tn=1" TargetMode="External"/><Relationship Id="rId68" Type="http://schemas.openxmlformats.org/officeDocument/2006/relationships/hyperlink" Target="https://www.boe.es/buscar/act.php?id=BOE-A-2022-7191&amp;p=20220504&amp;tn=1"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oe.es/buscar/act.php?id=BOE-A-2022-7191&amp;p=20220504&amp;tn=1" TargetMode="External"/><Relationship Id="rId29" Type="http://schemas.openxmlformats.org/officeDocument/2006/relationships/hyperlink" Target="https://www.boe.es/buscar/act.php?id=BOE-A-2022-7191&amp;p=20220504&amp;tn=1" TargetMode="External"/><Relationship Id="rId11" Type="http://schemas.openxmlformats.org/officeDocument/2006/relationships/hyperlink" Target="https://www.boe.es/buscar/act.php?id=BOE-A-2022-7191&amp;p=20220504&amp;tn=1" TargetMode="External"/><Relationship Id="rId24" Type="http://schemas.openxmlformats.org/officeDocument/2006/relationships/hyperlink" Target="https://www.boe.es/buscar/act.php?id=BOE-A-2022-7191&amp;p=20220504&amp;tn=1" TargetMode="External"/><Relationship Id="rId32" Type="http://schemas.openxmlformats.org/officeDocument/2006/relationships/hyperlink" Target="https://www.boe.es/buscar/act.php?id=BOE-A-2022-7191&amp;p=20220504&amp;tn=1" TargetMode="External"/><Relationship Id="rId37" Type="http://schemas.openxmlformats.org/officeDocument/2006/relationships/hyperlink" Target="https://www.boe.es/buscar/act.php?id=BOE-A-2022-7191&amp;p=20220504&amp;tn=1" TargetMode="External"/><Relationship Id="rId40" Type="http://schemas.openxmlformats.org/officeDocument/2006/relationships/hyperlink" Target="https://www.boe.es/buscar/act.php?id=BOE-A-2022-7191&amp;p=20220504&amp;tn=1" TargetMode="External"/><Relationship Id="rId45" Type="http://schemas.openxmlformats.org/officeDocument/2006/relationships/hyperlink" Target="https://www.boe.es/buscar/act.php?id=BOE-A-2022-7191&amp;p=20220504&amp;tn=1" TargetMode="External"/><Relationship Id="rId53" Type="http://schemas.openxmlformats.org/officeDocument/2006/relationships/hyperlink" Target="https://www.boe.es/buscar/act.php?id=BOE-A-2022-7191&amp;p=20220504&amp;tn=1" TargetMode="External"/><Relationship Id="rId58" Type="http://schemas.openxmlformats.org/officeDocument/2006/relationships/hyperlink" Target="https://www.boe.es/buscar/act.php?id=BOE-A-2022-7191&amp;p=20220504&amp;tn=1" TargetMode="External"/><Relationship Id="rId66" Type="http://schemas.openxmlformats.org/officeDocument/2006/relationships/hyperlink" Target="https://www.boe.es/buscar/act.php?id=BOE-A-2022-7191&amp;p=20220504&amp;tn=1" TargetMode="External"/><Relationship Id="rId5" Type="http://schemas.openxmlformats.org/officeDocument/2006/relationships/webSettings" Target="webSettings.xml"/><Relationship Id="rId61" Type="http://schemas.openxmlformats.org/officeDocument/2006/relationships/hyperlink" Target="https://www.boe.es/buscar/act.php?id=BOE-A-2022-7191&amp;p=20220504&amp;tn=1" TargetMode="External"/><Relationship Id="rId19" Type="http://schemas.openxmlformats.org/officeDocument/2006/relationships/hyperlink" Target="https://www.boe.es/buscar/act.php?id=BOE-A-2022-7191&amp;p=20220504&amp;tn=1" TargetMode="External"/><Relationship Id="rId14" Type="http://schemas.openxmlformats.org/officeDocument/2006/relationships/hyperlink" Target="https://www.boe.es/buscar/act.php?id=BOE-A-2022-7191&amp;p=20220504&amp;tn=1" TargetMode="External"/><Relationship Id="rId22" Type="http://schemas.openxmlformats.org/officeDocument/2006/relationships/hyperlink" Target="https://www.boe.es/buscar/act.php?id=BOE-A-2022-7191&amp;p=20220504&amp;tn=1" TargetMode="External"/><Relationship Id="rId27" Type="http://schemas.openxmlformats.org/officeDocument/2006/relationships/hyperlink" Target="https://www.boe.es/buscar/act.php?id=BOE-A-2022-7191&amp;p=20220504&amp;tn=1" TargetMode="External"/><Relationship Id="rId30" Type="http://schemas.openxmlformats.org/officeDocument/2006/relationships/hyperlink" Target="https://www.boe.es/buscar/act.php?id=BOE-A-2022-7191&amp;p=20220504&amp;tn=1" TargetMode="External"/><Relationship Id="rId35" Type="http://schemas.openxmlformats.org/officeDocument/2006/relationships/hyperlink" Target="https://www.boe.es/buscar/act.php?id=BOE-A-2022-7191&amp;p=20220504&amp;tn=1" TargetMode="External"/><Relationship Id="rId43" Type="http://schemas.openxmlformats.org/officeDocument/2006/relationships/hyperlink" Target="https://www.boe.es/buscar/act.php?id=BOE-A-2022-7191&amp;p=20220504&amp;tn=1" TargetMode="External"/><Relationship Id="rId48" Type="http://schemas.openxmlformats.org/officeDocument/2006/relationships/hyperlink" Target="https://www.boe.es/buscar/act.php?id=BOE-A-2022-7191&amp;p=20220504&amp;tn=1" TargetMode="External"/><Relationship Id="rId56" Type="http://schemas.openxmlformats.org/officeDocument/2006/relationships/hyperlink" Target="https://www.boe.es/buscar/act.php?id=BOE-A-2022-7191&amp;p=20220504&amp;tn=1" TargetMode="External"/><Relationship Id="rId64" Type="http://schemas.openxmlformats.org/officeDocument/2006/relationships/hyperlink" Target="https://www.boe.es/buscar/act.php?id=BOE-A-2022-7191&amp;p=20220504&amp;tn=1" TargetMode="External"/><Relationship Id="rId69" Type="http://schemas.openxmlformats.org/officeDocument/2006/relationships/footer" Target="footer1.xml"/><Relationship Id="rId8" Type="http://schemas.openxmlformats.org/officeDocument/2006/relationships/hyperlink" Target="https://www.boe.es/buscar/act.php?id=BOE-A-2022-7191&amp;p=20220504&amp;tn=1" TargetMode="External"/><Relationship Id="rId51" Type="http://schemas.openxmlformats.org/officeDocument/2006/relationships/hyperlink" Target="https://www.boe.es/buscar/act.php?id=BOE-A-2022-7191&amp;p=20220504&amp;tn=1" TargetMode="External"/><Relationship Id="rId3" Type="http://schemas.openxmlformats.org/officeDocument/2006/relationships/styles" Target="styles.xml"/><Relationship Id="rId12" Type="http://schemas.openxmlformats.org/officeDocument/2006/relationships/hyperlink" Target="https://www.boe.es/buscar/act.php?id=BOE-A-2022-7191&amp;p=20220504&amp;tn=1" TargetMode="External"/><Relationship Id="rId17" Type="http://schemas.openxmlformats.org/officeDocument/2006/relationships/hyperlink" Target="https://www.boe.es/buscar/act.php?id=BOE-A-2022-7191&amp;p=20220504&amp;tn=1" TargetMode="External"/><Relationship Id="rId25" Type="http://schemas.openxmlformats.org/officeDocument/2006/relationships/hyperlink" Target="https://www.boe.es/buscar/act.php?id=BOE-A-2022-7191&amp;p=20220504&amp;tn=1" TargetMode="External"/><Relationship Id="rId33" Type="http://schemas.openxmlformats.org/officeDocument/2006/relationships/hyperlink" Target="https://www.boe.es/buscar/act.php?id=BOE-A-2022-7191&amp;p=20220504&amp;tn=1" TargetMode="External"/><Relationship Id="rId38" Type="http://schemas.openxmlformats.org/officeDocument/2006/relationships/hyperlink" Target="https://www.boe.es/buscar/act.php?id=BOE-A-2022-7191&amp;p=20220504&amp;tn=1" TargetMode="External"/><Relationship Id="rId46" Type="http://schemas.openxmlformats.org/officeDocument/2006/relationships/hyperlink" Target="https://www.boe.es/buscar/act.php?id=BOE-A-2022-7191&amp;p=20220504&amp;tn=1" TargetMode="External"/><Relationship Id="rId59" Type="http://schemas.openxmlformats.org/officeDocument/2006/relationships/hyperlink" Target="https://www.boe.es/buscar/act.php?id=BOE-A-2022-7191&amp;p=20220504&amp;tn=1" TargetMode="External"/><Relationship Id="rId67" Type="http://schemas.openxmlformats.org/officeDocument/2006/relationships/hyperlink" Target="https://www.boe.es/buscar/act.php?id=BOE-A-2022-7191&amp;p=20220504&amp;tn=1" TargetMode="External"/><Relationship Id="rId20" Type="http://schemas.openxmlformats.org/officeDocument/2006/relationships/hyperlink" Target="https://www.boe.es/buscar/act.php?id=BOE-A-2022-7191&amp;p=20220504&amp;tn=1" TargetMode="External"/><Relationship Id="rId41" Type="http://schemas.openxmlformats.org/officeDocument/2006/relationships/hyperlink" Target="https://www.boe.es/buscar/act.php?id=BOE-A-2022-7191&amp;p=20220504&amp;tn=1" TargetMode="External"/><Relationship Id="rId54" Type="http://schemas.openxmlformats.org/officeDocument/2006/relationships/hyperlink" Target="https://www.boe.es/buscar/act.php?id=BOE-A-2022-7191&amp;p=20220504&amp;tn=1" TargetMode="External"/><Relationship Id="rId62" Type="http://schemas.openxmlformats.org/officeDocument/2006/relationships/hyperlink" Target="https://www.boe.es/buscar/act.php?id=BOE-A-2022-7191&amp;p=20220504&amp;tn=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oe.es/buscar/act.php?id=BOE-A-2022-7191&amp;p=20220504&amp;tn=1" TargetMode="External"/><Relationship Id="rId23" Type="http://schemas.openxmlformats.org/officeDocument/2006/relationships/hyperlink" Target="https://www.boe.es/buscar/act.php?id=BOE-A-2022-7191&amp;p=20220504&amp;tn=1" TargetMode="External"/><Relationship Id="rId28" Type="http://schemas.openxmlformats.org/officeDocument/2006/relationships/hyperlink" Target="https://www.boe.es/buscar/act.php?id=BOE-A-2022-7191&amp;p=20220504&amp;tn=1" TargetMode="External"/><Relationship Id="rId36" Type="http://schemas.openxmlformats.org/officeDocument/2006/relationships/hyperlink" Target="https://www.boe.es/buscar/act.php?id=BOE-A-2022-7191&amp;p=20220504&amp;tn=1" TargetMode="External"/><Relationship Id="rId49" Type="http://schemas.openxmlformats.org/officeDocument/2006/relationships/hyperlink" Target="https://www.boe.es/buscar/act.php?id=BOE-A-2022-7191&amp;p=20220504&amp;tn=1" TargetMode="External"/><Relationship Id="rId57" Type="http://schemas.openxmlformats.org/officeDocument/2006/relationships/hyperlink" Target="https://www.boe.es/buscar/act.php?id=BOE-A-2022-7191&amp;p=20220504&amp;tn=1" TargetMode="External"/><Relationship Id="rId10" Type="http://schemas.openxmlformats.org/officeDocument/2006/relationships/hyperlink" Target="https://www.boe.es/buscar/act.php?id=BOE-A-2022-7191&amp;p=20220504&amp;tn=1" TargetMode="External"/><Relationship Id="rId31" Type="http://schemas.openxmlformats.org/officeDocument/2006/relationships/hyperlink" Target="https://www.boe.es/buscar/act.php?id=BOE-A-2022-7191&amp;p=20220504&amp;tn=1" TargetMode="External"/><Relationship Id="rId44" Type="http://schemas.openxmlformats.org/officeDocument/2006/relationships/hyperlink" Target="https://www.boe.es/buscar/act.php?id=BOE-A-2022-7191&amp;p=20220504&amp;tn=1" TargetMode="External"/><Relationship Id="rId52" Type="http://schemas.openxmlformats.org/officeDocument/2006/relationships/hyperlink" Target="https://www.boe.es/buscar/act.php?id=BOE-A-2022-7191&amp;p=20220504&amp;tn=1" TargetMode="External"/><Relationship Id="rId60" Type="http://schemas.openxmlformats.org/officeDocument/2006/relationships/hyperlink" Target="https://www.boe.es/buscar/act.php?id=BOE-A-2022-7191&amp;p=20220504&amp;tn=1" TargetMode="External"/><Relationship Id="rId65" Type="http://schemas.openxmlformats.org/officeDocument/2006/relationships/hyperlink" Target="https://www.boe.es/buscar/act.php?id=BOE-A-2022-7191&amp;p=20220504&amp;tn=1" TargetMode="External"/><Relationship Id="rId4" Type="http://schemas.openxmlformats.org/officeDocument/2006/relationships/settings" Target="settings.xml"/><Relationship Id="rId9" Type="http://schemas.openxmlformats.org/officeDocument/2006/relationships/hyperlink" Target="https://www.boe.es/buscar/act.php?id=BOE-A-2022-7191&amp;p=20220504&amp;tn=1" TargetMode="External"/><Relationship Id="rId13" Type="http://schemas.openxmlformats.org/officeDocument/2006/relationships/hyperlink" Target="https://www.boe.es/buscar/act.php?id=BOE-A-2022-7191&amp;p=20220504&amp;tn=1" TargetMode="External"/><Relationship Id="rId18" Type="http://schemas.openxmlformats.org/officeDocument/2006/relationships/hyperlink" Target="https://www.boe.es/buscar/act.php?id=BOE-A-2022-7191&amp;p=20220504&amp;tn=1" TargetMode="External"/><Relationship Id="rId39" Type="http://schemas.openxmlformats.org/officeDocument/2006/relationships/hyperlink" Target="https://www.boe.es/buscar/act.php?id=BOE-A-2022-7191&amp;p=20220504&amp;tn=1" TargetMode="External"/><Relationship Id="rId34" Type="http://schemas.openxmlformats.org/officeDocument/2006/relationships/hyperlink" Target="https://www.boe.es/buscar/act.php?id=BOE-A-2022-7191&amp;p=20220504&amp;tn=1" TargetMode="External"/><Relationship Id="rId50" Type="http://schemas.openxmlformats.org/officeDocument/2006/relationships/hyperlink" Target="https://www.boe.es/buscar/act.php?id=BOE-A-2022-7191&amp;p=20220504&amp;tn=1" TargetMode="External"/><Relationship Id="rId55" Type="http://schemas.openxmlformats.org/officeDocument/2006/relationships/hyperlink" Target="https://www.boe.es/buscar/act.php?id=BOE-A-2022-7191&amp;p=20220504&amp;t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D83AA-F154-444F-AECC-BB0B9DF4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14235</Words>
  <Characters>78295</Characters>
  <Application>Microsoft Office Word</Application>
  <DocSecurity>0</DocSecurity>
  <Lines>652</Lines>
  <Paragraphs>184</Paragraphs>
  <ScaleCrop>false</ScaleCrop>
  <Company/>
  <LinksUpToDate>false</LinksUpToDate>
  <CharactersWithSpaces>92346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 Vodafone</dc:creator>
  <cp:keywords/>
  <dc:description/>
  <cp:lastModifiedBy>ADRIAN MONGE, Vodafone</cp:lastModifiedBy>
  <cp:revision>3</cp:revision>
  <dcterms:created xsi:type="dcterms:W3CDTF">2024-04-25T21:07:00Z</dcterms:created>
  <dcterms:modified xsi:type="dcterms:W3CDTF">2024-04-25T21:18:00Z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2024-04-25T21:18:35Z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bab42650-e741-439f-984b-35b11a0dfa3c</vt:lpwstr>
  </property>
  <property fmtid="{D5CDD505-2E9C-101B-9397-08002B2CF9AE}" pid="8" name="MSIP_Label_0359f705-2ba0-454b-9cfc-6ce5bcaac040_ContentBits">
    <vt:lpwstr>2</vt:lpwstr>
  </property>
</Properties>
</file>