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125E" w14:textId="77777777" w:rsidR="00226792" w:rsidRDefault="00226792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 xml:space="preserve">MITECO </w:t>
      </w:r>
    </w:p>
    <w:p w14:paraId="6DF184FC" w14:textId="3BB64C0E" w:rsidR="006215B9" w:rsidRPr="002205AC" w:rsidRDefault="00226792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226792">
        <w:rPr>
          <w:rFonts w:ascii="Arial" w:hAnsi="Arial" w:cs="Arial"/>
          <w:b/>
          <w:bCs/>
          <w:sz w:val="56"/>
          <w:szCs w:val="56"/>
          <w:u w:val="single"/>
        </w:rPr>
        <w:t>Plan de Recuperación, Transformación y Resiliencia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5EF87D80" w14:textId="3749FE7A" w:rsidR="006E7675" w:rsidRDefault="007B0662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r:id="rId8" w:history="1">
              <w:r w:rsidRPr="007B0662">
                <w:rPr>
                  <w:rStyle w:val="Hipervnculo"/>
                  <w:rFonts w:ascii="Arial" w:hAnsi="Arial" w:cs="Arial"/>
                  <w:sz w:val="36"/>
                  <w:szCs w:val="36"/>
                </w:rPr>
                <w:t>Miteco</w:t>
              </w:r>
            </w:hyperlink>
          </w:p>
          <w:p w14:paraId="5BA6D1FD" w14:textId="17B02F6D" w:rsidR="007B0662" w:rsidRDefault="007B0662" w:rsidP="007B0662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r:id="rId9" w:history="1">
              <w:r w:rsidRPr="00064E8B">
                <w:rPr>
                  <w:rStyle w:val="Hipervnculo"/>
                  <w:rFonts w:ascii="Arial" w:hAnsi="Arial" w:cs="Arial"/>
                  <w:sz w:val="36"/>
                  <w:szCs w:val="36"/>
                </w:rPr>
                <w:t>Enlace 1</w:t>
              </w:r>
            </w:hyperlink>
          </w:p>
          <w:p w14:paraId="6695604A" w14:textId="1CC56455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esumen chatGPT</w:t>
              </w:r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079777C9" w14:textId="77777777" w:rsidR="00B9069B" w:rsidRDefault="00B9069B" w:rsidP="006E7675">
      <w:pPr>
        <w:rPr>
          <w:rFonts w:ascii="Arial" w:hAnsi="Arial" w:cs="Arial"/>
          <w:sz w:val="40"/>
          <w:szCs w:val="40"/>
        </w:rPr>
      </w:pPr>
    </w:p>
    <w:p w14:paraId="49A71D54" w14:textId="65F272A1" w:rsidR="00B9069B" w:rsidRPr="00B9069B" w:rsidRDefault="00B9069B" w:rsidP="00B9069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 w:rsidRPr="00B9069B">
        <w:rPr>
          <w:rFonts w:ascii="Segoe UI" w:hAnsi="Segoe UI" w:cs="Segoe UI"/>
          <w:color w:val="0D0D0D"/>
        </w:rPr>
        <w:t xml:space="preserve">ELISA: </w:t>
      </w:r>
    </w:p>
    <w:p w14:paraId="2B1D0605" w14:textId="77777777" w:rsidR="00B9069B" w:rsidRPr="00B9069B" w:rsidRDefault="00B9069B" w:rsidP="00B9069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 w:rsidRPr="00B9069B">
        <w:rPr>
          <w:rFonts w:ascii="Segoe UI" w:hAnsi="Segoe UI" w:cs="Segoe UI"/>
          <w:color w:val="0D0D0D"/>
        </w:rPr>
        <w:t>La herramienta de visualización de datos ELISA permite hacer un seguimiento de las convocatorias de licitaciones y subvenciones, así como de su resolución, tanto de los fondos:</w:t>
      </w:r>
    </w:p>
    <w:p w14:paraId="320D6BD9" w14:textId="77777777" w:rsidR="00B9069B" w:rsidRPr="00B9069B" w:rsidRDefault="00B9069B" w:rsidP="00B9069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 w:rsidRPr="00B9069B">
        <w:rPr>
          <w:rFonts w:ascii="Segoe UI" w:hAnsi="Segoe UI" w:cs="Segoe UI"/>
          <w:color w:val="0D0D0D"/>
        </w:rPr>
        <w:t>Gestionados directamente por la Administración General del Estado.</w:t>
      </w:r>
    </w:p>
    <w:p w14:paraId="47EF24A5" w14:textId="77777777" w:rsidR="00B9069B" w:rsidRPr="00B9069B" w:rsidRDefault="00B9069B" w:rsidP="00B9069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 w:rsidRPr="00B9069B">
        <w:rPr>
          <w:rFonts w:ascii="Segoe UI" w:hAnsi="Segoe UI" w:cs="Segoe UI"/>
          <w:color w:val="0D0D0D"/>
        </w:rPr>
        <w:t>Los transferidos a las Comunidades Autónomas a través de las Conferencias Sectoriales.</w:t>
      </w:r>
    </w:p>
    <w:p w14:paraId="12FCE812" w14:textId="3C5DAC5A" w:rsidR="006D0C3D" w:rsidRPr="00B9069B" w:rsidRDefault="00B9069B" w:rsidP="00B9069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 w:rsidRPr="00B9069B">
        <w:rPr>
          <w:rFonts w:ascii="Segoe UI" w:hAnsi="Segoe UI" w:cs="Segoe UI"/>
          <w:color w:val="0D0D0D"/>
        </w:rPr>
        <w:t>Los ejecutados por las corporaciones locales.</w:t>
      </w:r>
      <w:r w:rsidR="006D0C3D" w:rsidRPr="00B9069B">
        <w:rPr>
          <w:rFonts w:ascii="Segoe UI" w:hAnsi="Segoe UI" w:cs="Segoe UI"/>
          <w:color w:val="0D0D0D"/>
        </w:rPr>
        <w:t xml:space="preserve"> </w:t>
      </w:r>
    </w:p>
    <w:p w14:paraId="05A01244" w14:textId="77777777" w:rsidR="00820721" w:rsidRDefault="00820721">
      <w:pPr>
        <w:rPr>
          <w:rFonts w:ascii="Arial" w:eastAsiaTheme="majorEastAsia" w:hAnsi="Arial" w:cs="Arial"/>
          <w:color w:val="2F5496" w:themeColor="accent1" w:themeShade="BF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br w:type="page"/>
      </w:r>
    </w:p>
    <w:p w14:paraId="26ADC13F" w14:textId="65337042" w:rsidR="007B0662" w:rsidRDefault="007B0662" w:rsidP="006D0C3D">
      <w:pPr>
        <w:pStyle w:val="Ttulo2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Puntos.</w:t>
      </w:r>
    </w:p>
    <w:p w14:paraId="688E9BB5" w14:textId="1A327B84" w:rsidR="007B0662" w:rsidRDefault="007B0662" w:rsidP="007B0662">
      <w:r>
        <w:rPr>
          <w:noProof/>
        </w:rPr>
        <w:drawing>
          <wp:inline distT="0" distB="0" distL="0" distR="0" wp14:anchorId="1DB92B8E" wp14:editId="7B6F5F35">
            <wp:extent cx="5400040" cy="33229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1164" w14:textId="7668EFC8" w:rsidR="007B0662" w:rsidRDefault="007B0662" w:rsidP="007B0662"/>
    <w:p w14:paraId="32C3B6F4" w14:textId="194E8CAE" w:rsidR="007B0662" w:rsidRDefault="007B0662" w:rsidP="007B0662"/>
    <w:p w14:paraId="7577A11C" w14:textId="77777777" w:rsidR="007B0662" w:rsidRPr="007B0662" w:rsidRDefault="007B0662" w:rsidP="007B0662"/>
    <w:p w14:paraId="040032F4" w14:textId="72DB4DDF" w:rsidR="006D0C3D" w:rsidRDefault="007B0662" w:rsidP="006D0C3D">
      <w:pPr>
        <w:pStyle w:val="Ttulo2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</w:t>
      </w:r>
      <w:r w:rsidR="00F10B83">
        <w:rPr>
          <w:rFonts w:ascii="Arial" w:hAnsi="Arial" w:cs="Arial"/>
          <w:sz w:val="40"/>
          <w:szCs w:val="40"/>
        </w:rPr>
        <w:t xml:space="preserve">rimer </w:t>
      </w:r>
      <w:r w:rsidR="002205AC">
        <w:rPr>
          <w:rFonts w:ascii="Arial" w:hAnsi="Arial" w:cs="Arial"/>
          <w:sz w:val="40"/>
          <w:szCs w:val="40"/>
        </w:rPr>
        <w:t>Resumen chatGPT</w:t>
      </w:r>
    </w:p>
    <w:p w14:paraId="1DE838FF" w14:textId="77777777" w:rsidR="00B4018D" w:rsidRDefault="00B4018D" w:rsidP="00B4018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El 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Plan de Recuperación, Transformación y Resiliencia (PRTR)</w:t>
      </w:r>
      <w:r>
        <w:rPr>
          <w:rFonts w:ascii="Segoe UI" w:hAnsi="Segoe UI" w:cs="Segoe UI"/>
          <w:color w:val="0D0D0D"/>
        </w:rPr>
        <w:t xml:space="preserve"> es la estrategia de España para canalizar los fondos europeos del programa Next Generation EU, con el objetivo de superar la crisis provocada por la pandemia de COVID-19 y modernizar la economía. En este contexto, el 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Ministerio para la Transición Ecológica y el Reto Demográfico (MITECO)</w:t>
      </w:r>
      <w:r>
        <w:rPr>
          <w:rFonts w:ascii="Segoe UI" w:hAnsi="Segoe UI" w:cs="Segoe UI"/>
          <w:color w:val="0D0D0D"/>
        </w:rPr>
        <w:t xml:space="preserve"> juega un papel crucial en la ejecución de diversas componentes del plan, centradas en la transición ecológica y la sostenibilidad.</w:t>
      </w:r>
    </w:p>
    <w:p w14:paraId="70DF5EE2" w14:textId="77777777" w:rsidR="00B4018D" w:rsidRDefault="00B4018D" w:rsidP="00B4018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Componentes del PRTR ejecutadas por el MITECO:</w:t>
      </w:r>
    </w:p>
    <w:p w14:paraId="4447F28C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1. Componente 1: Plan de Choque de Movilidad Sostenible, Segura y Conectada en Entornos Urbanos y Metropolitanos</w:t>
      </w:r>
    </w:p>
    <w:p w14:paraId="1730B4D0" w14:textId="77777777" w:rsidR="00B4018D" w:rsidRDefault="00B4018D" w:rsidP="00B4018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Fomentar una movilidad urbana sostenible, reducir emisiones y mejorar la calidad del aire.</w:t>
      </w:r>
    </w:p>
    <w:p w14:paraId="42953BC5" w14:textId="77777777" w:rsidR="00B4018D" w:rsidRDefault="00B4018D" w:rsidP="00B4018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Inversiones en infraestructuras de transporte público, carriles bici, zonas de bajas emisiones y electrificación del transporte.</w:t>
      </w:r>
    </w:p>
    <w:p w14:paraId="7222D4D9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2. Componente 2: Implementación de la Hoja de Ruta del Hidrógeno Renovable y su Integración Sectorial</w:t>
      </w:r>
    </w:p>
    <w:p w14:paraId="3D4C7255" w14:textId="77777777" w:rsidR="00B4018D" w:rsidRDefault="00B4018D" w:rsidP="00B4018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Desarrollar la economía del hidrógeno renovable como vector energético clave para la descarbonización.</w:t>
      </w:r>
    </w:p>
    <w:p w14:paraId="38CAF721" w14:textId="77777777" w:rsidR="00B4018D" w:rsidRDefault="00B4018D" w:rsidP="00B4018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Actuaciones</w:t>
      </w:r>
      <w:r>
        <w:rPr>
          <w:rFonts w:ascii="Segoe UI" w:hAnsi="Segoe UI" w:cs="Segoe UI"/>
          <w:color w:val="0D0D0D"/>
        </w:rPr>
        <w:t>: Creación de infraestructuras para la producción, almacenamiento y distribución de hidrógeno verde, y fomento de la I+D en tecnologías relacionadas.</w:t>
      </w:r>
    </w:p>
    <w:p w14:paraId="5D777511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3. Componente 3: Transformación Ambiental del Sistema Agroalimentario y Pesquero</w:t>
      </w:r>
    </w:p>
    <w:p w14:paraId="4AD30356" w14:textId="77777777" w:rsidR="00B4018D" w:rsidRDefault="00B4018D" w:rsidP="00B4018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Impulsar la sostenibilidad del sector agroalimentario y pesquero.</w:t>
      </w:r>
    </w:p>
    <w:p w14:paraId="1C33E53E" w14:textId="77777777" w:rsidR="00B4018D" w:rsidRDefault="00B4018D" w:rsidP="00B4018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Inversiones en prácticas agrícolas sostenibles, modernización de regadíos, y reducción del impacto ambiental de la pesca.</w:t>
      </w:r>
    </w:p>
    <w:p w14:paraId="0DEE3DB0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4. Componente 4: Conservación y Restauración de Ecosistemas y su Biodiversidad</w:t>
      </w:r>
    </w:p>
    <w:p w14:paraId="07C14B54" w14:textId="77777777" w:rsidR="00B4018D" w:rsidRDefault="00B4018D" w:rsidP="00B4018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Restaurar ecosistemas degradados, proteger la biodiversidad y fomentar la resiliencia del medio natural.</w:t>
      </w:r>
    </w:p>
    <w:p w14:paraId="1D738672" w14:textId="77777777" w:rsidR="00B4018D" w:rsidRDefault="00B4018D" w:rsidP="00B4018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Proyectos de reforestación, restauración de humedales y ecosistemas marinos, y creación de infraestructuras verdes.</w:t>
      </w:r>
    </w:p>
    <w:p w14:paraId="73F98E57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5. Componente 7: Despliegue e Integración de Energías Renovables</w:t>
      </w:r>
    </w:p>
    <w:p w14:paraId="47D69205" w14:textId="77777777" w:rsidR="00B4018D" w:rsidRDefault="00B4018D" w:rsidP="00B4018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Aumentar la capacidad de generación de energías renovables en España.</w:t>
      </w:r>
    </w:p>
    <w:p w14:paraId="0DACB1BF" w14:textId="77777777" w:rsidR="00B4018D" w:rsidRDefault="00B4018D" w:rsidP="00B4018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Incentivos para la instalación de paneles solares, parques eólicos, y otras formas de energía renovable, así como el desarrollo de sistemas de almacenamiento energético.</w:t>
      </w:r>
    </w:p>
    <w:p w14:paraId="352B9D64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6. Componente 8: Infraestructuras Eléctricas, Promoción de Redes Inteligentes y Despliegue de la Flexibilidad y el Almacenamiento</w:t>
      </w:r>
    </w:p>
    <w:p w14:paraId="6541D739" w14:textId="77777777" w:rsidR="00B4018D" w:rsidRDefault="00B4018D" w:rsidP="00B4018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Modernizar y digitalizar la red eléctrica para integrar una mayor proporción de energías renovables.</w:t>
      </w:r>
    </w:p>
    <w:p w14:paraId="29EA9401" w14:textId="77777777" w:rsidR="00B4018D" w:rsidRDefault="00B4018D" w:rsidP="00B4018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Desarrollo de redes inteligentes, sistemas de almacenamiento de energía y mecanismos de flexibilidad para la gestión de la demanda.</w:t>
      </w:r>
    </w:p>
    <w:p w14:paraId="273CAC3A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7. Componente 9: Hoja de Ruta del Autoconsumo, Comunidades Energéticas y Energías Renovables en la Transición Energética</w:t>
      </w:r>
    </w:p>
    <w:p w14:paraId="5DA7F9F2" w14:textId="77777777" w:rsidR="00B4018D" w:rsidRDefault="00B4018D" w:rsidP="00B4018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Fomentar el autoconsumo energético y la creación de comunidades energéticas locales.</w:t>
      </w:r>
    </w:p>
    <w:p w14:paraId="102CA0B1" w14:textId="77777777" w:rsidR="00B4018D" w:rsidRDefault="00B4018D" w:rsidP="00B4018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Subvenciones para instalaciones de autoconsumo, promoción de proyectos de comunidades energéticas y apoyo a la integración de renovables en el ámbito local.</w:t>
      </w:r>
    </w:p>
    <w:p w14:paraId="1B1D6FBC" w14:textId="77777777" w:rsidR="00B4018D" w:rsidRDefault="00B4018D" w:rsidP="00B4018D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8. Componente 11: Modernización de la Administración para la Transición Ecológica</w:t>
      </w:r>
    </w:p>
    <w:p w14:paraId="53543312" w14:textId="77777777" w:rsidR="00B4018D" w:rsidRDefault="00B4018D" w:rsidP="00B4018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Objetivos</w:t>
      </w:r>
      <w:r>
        <w:rPr>
          <w:rFonts w:ascii="Segoe UI" w:hAnsi="Segoe UI" w:cs="Segoe UI"/>
          <w:color w:val="0D0D0D"/>
        </w:rPr>
        <w:t>: Digitalizar y modernizar las administraciones públicas en el ámbito de la transición ecológica.</w:t>
      </w:r>
    </w:p>
    <w:p w14:paraId="60382715" w14:textId="77777777" w:rsidR="00B4018D" w:rsidRDefault="00B4018D" w:rsidP="00B4018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Actuaciones</w:t>
      </w:r>
      <w:r>
        <w:rPr>
          <w:rFonts w:ascii="Segoe UI" w:hAnsi="Segoe UI" w:cs="Segoe UI"/>
          <w:color w:val="0D0D0D"/>
        </w:rPr>
        <w:t>: Implementación de sistemas digitales para la gestión de políticas medioambientales, y capacitación del personal en nuevas tecnologías y prácticas sostenibles.</w:t>
      </w:r>
    </w:p>
    <w:p w14:paraId="65403FE5" w14:textId="77777777" w:rsidR="00B4018D" w:rsidRDefault="00B4018D" w:rsidP="00B4018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Ejes Transversales del PRTR:</w:t>
      </w:r>
    </w:p>
    <w:p w14:paraId="6CE02A47" w14:textId="77777777" w:rsidR="00B4018D" w:rsidRDefault="00B4018D" w:rsidP="00B4018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Además de las componentes específicas, el PRTR está estructurado en cuatro ejes transversales que guían todas las actuaciones:</w:t>
      </w:r>
    </w:p>
    <w:p w14:paraId="6EC2C9D2" w14:textId="77777777" w:rsidR="00B4018D" w:rsidRDefault="00B4018D" w:rsidP="00B4018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Transición ecológica</w:t>
      </w:r>
      <w:r>
        <w:rPr>
          <w:rFonts w:ascii="Segoe UI" w:hAnsi="Segoe UI" w:cs="Segoe UI"/>
          <w:color w:val="0D0D0D"/>
        </w:rPr>
        <w:t>: Todas las componentes del PRTR buscan contribuir a la sostenibilidad ambiental y la lucha contra el cambio climático.</w:t>
      </w:r>
    </w:p>
    <w:p w14:paraId="41C56A03" w14:textId="77777777" w:rsidR="00B4018D" w:rsidRDefault="00B4018D" w:rsidP="00B4018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Transformación digital</w:t>
      </w:r>
      <w:r>
        <w:rPr>
          <w:rFonts w:ascii="Segoe UI" w:hAnsi="Segoe UI" w:cs="Segoe UI"/>
          <w:color w:val="0D0D0D"/>
        </w:rPr>
        <w:t>: Integración de tecnologías digitales en las infraestructuras y servicios públicos.</w:t>
      </w:r>
    </w:p>
    <w:p w14:paraId="4D80BE25" w14:textId="77777777" w:rsidR="00B4018D" w:rsidRDefault="00B4018D" w:rsidP="00B4018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Cohesión social y territorial</w:t>
      </w:r>
      <w:r>
        <w:rPr>
          <w:rFonts w:ascii="Segoe UI" w:hAnsi="Segoe UI" w:cs="Segoe UI"/>
          <w:color w:val="0D0D0D"/>
        </w:rPr>
        <w:t>: Reducción de desigualdades y promoción de un desarrollo equilibrado entre diferentes regiones.</w:t>
      </w:r>
    </w:p>
    <w:p w14:paraId="5F0B6F1A" w14:textId="77777777" w:rsidR="00B4018D" w:rsidRDefault="00B4018D" w:rsidP="00B4018D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Igualdad de género</w:t>
      </w:r>
      <w:r>
        <w:rPr>
          <w:rFonts w:ascii="Segoe UI" w:hAnsi="Segoe UI" w:cs="Segoe UI"/>
          <w:color w:val="0D0D0D"/>
        </w:rPr>
        <w:t>: Asegurar que las políticas y proyectos promovidos bajo el PRTR contribuyen a la igualdad de oportunidades entre hombres y mujeres.</w:t>
      </w:r>
    </w:p>
    <w:p w14:paraId="54B2143B" w14:textId="77777777" w:rsidR="00B4018D" w:rsidRDefault="00B4018D" w:rsidP="00B4018D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Recursos Adicionales:</w:t>
      </w:r>
    </w:p>
    <w:p w14:paraId="4EBF08D4" w14:textId="77777777" w:rsidR="00B4018D" w:rsidRDefault="00B4018D" w:rsidP="00B4018D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Plan de Recuperación, Transformación y Resiliencia</w:t>
      </w:r>
      <w:r>
        <w:rPr>
          <w:rFonts w:ascii="Segoe UI" w:hAnsi="Segoe UI" w:cs="Segoe UI"/>
          <w:color w:val="0D0D0D"/>
        </w:rPr>
        <w:t>: Documento oficial disponible en la web del gobierno Plan de Recuperación, Transformación y Resiliencia.</w:t>
      </w:r>
    </w:p>
    <w:p w14:paraId="11C28E5A" w14:textId="77777777" w:rsidR="00B4018D" w:rsidRDefault="00B4018D" w:rsidP="00B4018D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MITECO</w:t>
      </w:r>
      <w:r>
        <w:rPr>
          <w:rFonts w:ascii="Segoe UI" w:hAnsi="Segoe UI" w:cs="Segoe UI"/>
          <w:color w:val="0D0D0D"/>
        </w:rPr>
        <w:t>: Página oficial del Ministerio para la Transición Ecológica y el Reto Demográfico con información detallada sobre sus componentes en el PRTR MITECO - Plan de Recuperación.</w:t>
      </w:r>
    </w:p>
    <w:p w14:paraId="6FDBC44C" w14:textId="77777777" w:rsidR="00B4018D" w:rsidRDefault="00B4018D" w:rsidP="00B4018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Esta estructura te permitirá abordar de manera organizada y detallada el tema del Plan de Recuperación, Transformación y Resiliencia, centrándote en las componentes ejecutadas por el MITECO. Si necesitas más información o detalles sobre algún aspecto específico, no dudes en decírmelo. ¡Buena suerte con tu estudio!</w:t>
      </w:r>
    </w:p>
    <w:p w14:paraId="5CAB123A" w14:textId="6FE828BB" w:rsidR="006D0C3D" w:rsidRDefault="006D0C3D" w:rsidP="006D0C3D"/>
    <w:p w14:paraId="386F7735" w14:textId="77777777" w:rsidR="00F10B83" w:rsidRDefault="00F10B83" w:rsidP="006D0C3D"/>
    <w:p w14:paraId="0FFCCA43" w14:textId="77777777" w:rsidR="00F10B83" w:rsidRDefault="00F10B83" w:rsidP="006D0C3D"/>
    <w:p w14:paraId="2CED9C7E" w14:textId="05277E10" w:rsidR="00BB01B6" w:rsidRDefault="00F10B83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Segundo </w:t>
      </w:r>
      <w:r w:rsidR="00BB01B6">
        <w:rPr>
          <w:rFonts w:ascii="Arial" w:hAnsi="Arial" w:cs="Arial"/>
          <w:sz w:val="40"/>
          <w:szCs w:val="40"/>
        </w:rPr>
        <w:t>Resumen chatGPT</w:t>
      </w:r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AEA98" w14:textId="77777777" w:rsidR="00BB544E" w:rsidRDefault="00BB544E" w:rsidP="00AB0518">
      <w:pPr>
        <w:spacing w:after="0" w:line="240" w:lineRule="auto"/>
      </w:pPr>
      <w:r>
        <w:separator/>
      </w:r>
    </w:p>
  </w:endnote>
  <w:endnote w:type="continuationSeparator" w:id="0">
    <w:p w14:paraId="64AD388B" w14:textId="77777777" w:rsidR="00BB544E" w:rsidRDefault="00BB544E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1FDB0" w14:textId="77777777" w:rsidR="00BB544E" w:rsidRDefault="00BB544E" w:rsidP="00AB0518">
      <w:pPr>
        <w:spacing w:after="0" w:line="240" w:lineRule="auto"/>
      </w:pPr>
      <w:r>
        <w:separator/>
      </w:r>
    </w:p>
  </w:footnote>
  <w:footnote w:type="continuationSeparator" w:id="0">
    <w:p w14:paraId="786173F7" w14:textId="77777777" w:rsidR="00BB544E" w:rsidRDefault="00BB544E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0EF7"/>
    <w:multiLevelType w:val="multilevel"/>
    <w:tmpl w:val="7B00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FD3FF3"/>
    <w:multiLevelType w:val="multilevel"/>
    <w:tmpl w:val="2B72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D14D1"/>
    <w:multiLevelType w:val="multilevel"/>
    <w:tmpl w:val="A0A4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C204BE"/>
    <w:multiLevelType w:val="multilevel"/>
    <w:tmpl w:val="398E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A33BE4"/>
    <w:multiLevelType w:val="multilevel"/>
    <w:tmpl w:val="AD16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CB4A59"/>
    <w:multiLevelType w:val="multilevel"/>
    <w:tmpl w:val="E968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542CEE"/>
    <w:multiLevelType w:val="multilevel"/>
    <w:tmpl w:val="A09A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AA4399"/>
    <w:multiLevelType w:val="multilevel"/>
    <w:tmpl w:val="07B2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7B241C"/>
    <w:multiLevelType w:val="multilevel"/>
    <w:tmpl w:val="FCAC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DA2C4B"/>
    <w:multiLevelType w:val="multilevel"/>
    <w:tmpl w:val="06D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716124">
    <w:abstractNumId w:val="2"/>
  </w:num>
  <w:num w:numId="2" w16cid:durableId="1187060767">
    <w:abstractNumId w:val="8"/>
  </w:num>
  <w:num w:numId="3" w16cid:durableId="1995260208">
    <w:abstractNumId w:val="7"/>
  </w:num>
  <w:num w:numId="4" w16cid:durableId="424224845">
    <w:abstractNumId w:val="10"/>
  </w:num>
  <w:num w:numId="5" w16cid:durableId="1390105843">
    <w:abstractNumId w:val="11"/>
  </w:num>
  <w:num w:numId="6" w16cid:durableId="628321024">
    <w:abstractNumId w:val="3"/>
  </w:num>
  <w:num w:numId="7" w16cid:durableId="601691774">
    <w:abstractNumId w:val="9"/>
  </w:num>
  <w:num w:numId="8" w16cid:durableId="616257951">
    <w:abstractNumId w:val="0"/>
  </w:num>
  <w:num w:numId="9" w16cid:durableId="1692223353">
    <w:abstractNumId w:val="1"/>
  </w:num>
  <w:num w:numId="10" w16cid:durableId="1084036356">
    <w:abstractNumId w:val="5"/>
  </w:num>
  <w:num w:numId="11" w16cid:durableId="1948198359">
    <w:abstractNumId w:val="6"/>
  </w:num>
  <w:num w:numId="12" w16cid:durableId="1747337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64E8B"/>
    <w:rsid w:val="000969DF"/>
    <w:rsid w:val="000C1FB7"/>
    <w:rsid w:val="00137984"/>
    <w:rsid w:val="00161CB8"/>
    <w:rsid w:val="002205AC"/>
    <w:rsid w:val="00226792"/>
    <w:rsid w:val="00301D7E"/>
    <w:rsid w:val="003233EF"/>
    <w:rsid w:val="003C662F"/>
    <w:rsid w:val="004A3A8E"/>
    <w:rsid w:val="005326A2"/>
    <w:rsid w:val="005A321E"/>
    <w:rsid w:val="006215B9"/>
    <w:rsid w:val="006530F4"/>
    <w:rsid w:val="0066103F"/>
    <w:rsid w:val="006D0C3D"/>
    <w:rsid w:val="006E7675"/>
    <w:rsid w:val="007B0662"/>
    <w:rsid w:val="008103B4"/>
    <w:rsid w:val="00817289"/>
    <w:rsid w:val="00820721"/>
    <w:rsid w:val="00894E45"/>
    <w:rsid w:val="008D25F2"/>
    <w:rsid w:val="00AB0518"/>
    <w:rsid w:val="00B03F87"/>
    <w:rsid w:val="00B4018D"/>
    <w:rsid w:val="00B9069B"/>
    <w:rsid w:val="00BB01B6"/>
    <w:rsid w:val="00BB544E"/>
    <w:rsid w:val="00CA1FD3"/>
    <w:rsid w:val="00CB205C"/>
    <w:rsid w:val="00CF56F3"/>
    <w:rsid w:val="00E8751F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01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018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4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tr.miteco.gob.es/es/el-pla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amoncloa.gob.es/temas/fondos-recuperacion/Documents/160621-Plan_Recuperacion_Transformacion_Resiliencia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MONGE, Vodafone</cp:lastModifiedBy>
  <cp:revision>6</cp:revision>
  <dcterms:created xsi:type="dcterms:W3CDTF">2024-05-19T13:09:00Z</dcterms:created>
  <dcterms:modified xsi:type="dcterms:W3CDTF">2024-05-23T07:59:00Z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2024-05-23T07:59:54Z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681284f6-7164-480b-8633-b98397e73033</vt:lpwstr>
  </property>
  <property fmtid="{D5CDD505-2E9C-101B-9397-08002B2CF9AE}" pid="9" name="MSIP_Label_0359f705-2ba0-454b-9cfc-6ce5bcaac040_ContentBits">
    <vt:lpwstr>2</vt:lpwstr>
  </property>
</Properties>
</file>