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01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 Вскм Как Сколько стоит ваше решение? Сколько времени ушло на разработку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01.04.2024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01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01.04.2024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