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5867" w:rsidRPr="0039628F" w:rsidRDefault="001E5867" w:rsidP="001E5867">
      <w:pPr>
        <w:pStyle w:val="FPRSectionHeader"/>
        <w:rPr>
          <w:rFonts w:cs="Arial"/>
          <w:sz w:val="20"/>
          <w:szCs w:val="20"/>
        </w:rPr>
      </w:pPr>
      <w:r w:rsidRPr="0039628F">
        <w:t>What this will cost you</w:t>
      </w:r>
    </w:p>
    <w:p w:rsidR="001E5867" w:rsidRPr="0039628F" w:rsidRDefault="001E5867" w:rsidP="001E5867">
      <w:pPr>
        <w:pStyle w:val="FPRBodycopy"/>
      </w:pPr>
      <w:r w:rsidRPr="0039628F">
        <w:t>These are the fees and charges you’ll pay.</w:t>
      </w:r>
    </w:p>
    <w:p w:rsidR="001E5867" w:rsidRPr="0039628F" w:rsidRDefault="001E5867" w:rsidP="001E5867">
      <w:pPr>
        <w:pStyle w:val="FPRBodycopy"/>
      </w:pPr>
    </w:p>
    <w:p w:rsidR="001E5867" w:rsidRPr="00974CF9" w:rsidRDefault="001E5867" w:rsidP="001E5867">
      <w:pPr>
        <w:pStyle w:val="Heading2"/>
      </w:pPr>
      <w:r w:rsidRPr="00974CF9">
        <w:t>Advice fee</w:t>
      </w:r>
    </w:p>
    <w:p w:rsidR="001E5867" w:rsidRPr="0039628F" w:rsidRDefault="001E5867" w:rsidP="001E5867">
      <w:pPr>
        <w:pStyle w:val="FPRTitle"/>
      </w:pPr>
      <w:r w:rsidRPr="0039628F">
        <w:t xml:space="preserve">One-off advice fee: </w:t>
      </w:r>
      <w:r w:rsidRPr="00F2052C">
        <w:rPr>
          <w:b/>
        </w:rPr>
        <w:t>£</w:t>
      </w:r>
      <w:sdt>
        <w:sdtPr>
          <w:rPr>
            <w:b/>
            <w:highlight w:val="green"/>
          </w:rPr>
          <w:alias w:val="Advice fee"/>
          <w:tag w:val=""/>
          <w:id w:val="637917409"/>
          <w:placeholder>
            <w:docPart w:val="E8561A3837F24549B937BEFBC7D91CC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74CF9" w:rsidRPr="000A490D">
            <w:rPr>
              <w:rStyle w:val="PlaceholderText"/>
            </w:rPr>
            <w:t>Field_1</w:t>
          </w:r>
        </w:sdtContent>
      </w:sdt>
    </w:p>
    <w:p w:rsidR="001E5867" w:rsidRPr="0039628F" w:rsidRDefault="001E5867" w:rsidP="001E5867">
      <w:pPr>
        <w:pStyle w:val="FPRBodycopy"/>
      </w:pPr>
      <w:r w:rsidRPr="00573ED2">
        <w:t>The actual fee you pay will depend on which products and/or services you decide to proceed with and so may be more or less than this</w:t>
      </w:r>
      <w:r w:rsidRPr="00EA75BB">
        <w:t xml:space="preserve">. This will be detailed in the </w:t>
      </w:r>
      <w:r w:rsidRPr="00262324">
        <w:rPr>
          <w:b/>
        </w:rPr>
        <w:t>‘Your fees and payment details’</w:t>
      </w:r>
      <w:r w:rsidRPr="00EA75BB">
        <w:t xml:space="preserve"> document.</w:t>
      </w:r>
      <w:r>
        <w:t xml:space="preserve"> </w:t>
      </w:r>
      <w:r w:rsidRPr="0039628F">
        <w:t>Please see the ‘</w:t>
      </w:r>
      <w:r w:rsidRPr="0039628F">
        <w:rPr>
          <w:b/>
        </w:rPr>
        <w:t>Advice Disclosure Document’</w:t>
      </w:r>
      <w:r w:rsidRPr="0039628F">
        <w:t xml:space="preserve"> for more information.</w:t>
      </w:r>
    </w:p>
    <w:p w:rsidR="001E5867" w:rsidRPr="00974CF9" w:rsidRDefault="001E5867" w:rsidP="001E5867">
      <w:pPr>
        <w:pStyle w:val="FPRBodycopy"/>
      </w:pPr>
    </w:p>
    <w:p w:rsidR="001E5867" w:rsidRPr="00974CF9" w:rsidRDefault="001E5867" w:rsidP="001E5867">
      <w:pPr>
        <w:pStyle w:val="FPRBodycopy"/>
      </w:pPr>
      <w:r w:rsidRPr="00974CF9">
        <w:t>Discount applied</w:t>
      </w:r>
    </w:p>
    <w:p w:rsidR="001E5867" w:rsidRPr="00962721" w:rsidRDefault="001E5867" w:rsidP="001E5867">
      <w:pPr>
        <w:pStyle w:val="FPRBodycopy"/>
      </w:pPr>
      <w:r w:rsidRPr="00962721">
        <w:t xml:space="preserve">This fee has been discounted because </w:t>
      </w:r>
      <w:r w:rsidR="00E068B1">
        <w:rPr>
          <w:highlight w:val="green"/>
        </w:rPr>
        <w:t>INSERT_2</w:t>
      </w:r>
      <w:r>
        <w:t>.</w:t>
      </w:r>
    </w:p>
    <w:p w:rsidR="001E5867" w:rsidRPr="00962721" w:rsidRDefault="001E5867" w:rsidP="001E5867">
      <w:pPr>
        <w:pStyle w:val="FPRBodycopy"/>
      </w:pPr>
    </w:p>
    <w:p w:rsidR="001E5867" w:rsidRPr="00974CF9" w:rsidRDefault="001E5867" w:rsidP="001E5867">
      <w:pPr>
        <w:pStyle w:val="FPRBodycopy"/>
      </w:pPr>
      <w:r w:rsidRPr="00974CF9">
        <w:t>Eligible for Jade – referral declined</w:t>
      </w:r>
    </w:p>
    <w:p w:rsidR="001E5867" w:rsidRPr="0039628F" w:rsidRDefault="001E5867" w:rsidP="001E5867">
      <w:pPr>
        <w:pStyle w:val="FPRBodycopy"/>
      </w:pPr>
      <w:r w:rsidRPr="0039628F" w:rsidDel="009046F8">
        <w:t xml:space="preserve">You're eligible for </w:t>
      </w:r>
      <w:r w:rsidRPr="0039628F">
        <w:t xml:space="preserve">our Jade by Premier service, where this advice would cost you </w:t>
      </w:r>
      <w:r w:rsidRPr="000B3D6A">
        <w:rPr>
          <w:b/>
        </w:rPr>
        <w:t>£</w:t>
      </w:r>
      <w:r w:rsidR="00E068B1">
        <w:rPr>
          <w:b/>
          <w:highlight w:val="green"/>
        </w:rPr>
        <w:t>INSERT_3</w:t>
      </w:r>
      <w:r w:rsidRPr="000B3D6A">
        <w:rPr>
          <w:b/>
        </w:rPr>
        <w:t xml:space="preserve"> </w:t>
      </w:r>
      <w:r w:rsidRPr="0039628F">
        <w:t xml:space="preserve">less. </w:t>
      </w:r>
      <w:r w:rsidRPr="0039628F" w:rsidDel="009046F8">
        <w:t>However, you</w:t>
      </w:r>
      <w:r w:rsidRPr="0039628F">
        <w:t xml:space="preserve"> declined</w:t>
      </w:r>
      <w:r w:rsidRPr="0039628F" w:rsidDel="009046F8">
        <w:t xml:space="preserve"> </w:t>
      </w:r>
      <w:r w:rsidRPr="0039628F">
        <w:t xml:space="preserve">this service </w:t>
      </w:r>
      <w:r w:rsidRPr="0039628F" w:rsidDel="009046F8">
        <w:t xml:space="preserve">because </w:t>
      </w:r>
      <w:r w:rsidR="00E068B1">
        <w:rPr>
          <w:highlight w:val="green"/>
        </w:rPr>
        <w:t>INSERT_4</w:t>
      </w:r>
    </w:p>
    <w:p w:rsidR="001E5867" w:rsidRDefault="001E5867" w:rsidP="001E5867">
      <w:pPr>
        <w:pStyle w:val="FPRBodycopy"/>
      </w:pPr>
    </w:p>
    <w:p w:rsidR="001E5867" w:rsidRPr="00974CF9" w:rsidRDefault="001E5867" w:rsidP="001E5867">
      <w:pPr>
        <w:pStyle w:val="FPRBodycopy"/>
      </w:pPr>
      <w:r w:rsidRPr="00974CF9">
        <w:t>RACoE referral made</w:t>
      </w:r>
    </w:p>
    <w:p w:rsidR="001E5867" w:rsidRDefault="001E5867" w:rsidP="001E5867">
      <w:pPr>
        <w:pStyle w:val="FPRBodycopy"/>
      </w:pPr>
      <w:r>
        <w:t xml:space="preserve">You’ll pay a separate fee for the service provided by the HSBC Retirement Advice Centre of Excellence, as detailed in the </w:t>
      </w:r>
      <w:r w:rsidRPr="00962721">
        <w:rPr>
          <w:b/>
        </w:rPr>
        <w:t>'Advice Disclosure Document'</w:t>
      </w:r>
      <w:r>
        <w:t xml:space="preserve">. For example, if you implement their recommendations, a fee of </w:t>
      </w:r>
      <w:r w:rsidRPr="000B3D6A">
        <w:rPr>
          <w:b/>
        </w:rPr>
        <w:t>£</w:t>
      </w:r>
      <w:r w:rsidR="00E068B1">
        <w:rPr>
          <w:b/>
          <w:highlight w:val="green"/>
        </w:rPr>
        <w:t>INSERT_5</w:t>
      </w:r>
      <w:r w:rsidRPr="000B3D6A">
        <w:rPr>
          <w:b/>
        </w:rPr>
        <w:t xml:space="preserve"> </w:t>
      </w:r>
      <w:r>
        <w:t>will apply, which may be subject to VAT.</w:t>
      </w:r>
    </w:p>
    <w:p w:rsidR="001E5867" w:rsidRDefault="001E5867" w:rsidP="001E5867">
      <w:pPr>
        <w:pStyle w:val="FPRBodycopy"/>
      </w:pPr>
    </w:p>
    <w:p w:rsidR="001E5867" w:rsidRDefault="001E5867" w:rsidP="001E5867">
      <w:pPr>
        <w:pStyle w:val="FPRBodycopy"/>
      </w:pPr>
      <w:r>
        <w:t xml:space="preserve">If you decide not to proceed with their recommendations or their advice is to do nothing, </w:t>
      </w:r>
      <w:r w:rsidRPr="00E22E58">
        <w:t xml:space="preserve">you’ll pay a Report Only Fee of </w:t>
      </w:r>
      <w:r w:rsidRPr="00E22E58">
        <w:rPr>
          <w:b/>
        </w:rPr>
        <w:t>£</w:t>
      </w:r>
      <w:r>
        <w:rPr>
          <w:b/>
        </w:rPr>
        <w:t>960</w:t>
      </w:r>
      <w:r>
        <w:t>.</w:t>
      </w:r>
    </w:p>
    <w:p w:rsidR="001E5867" w:rsidRDefault="001E5867" w:rsidP="001E5867">
      <w:pPr>
        <w:pStyle w:val="FPRBodycopy"/>
      </w:pPr>
    </w:p>
    <w:p w:rsidR="001E5867" w:rsidRPr="00974CF9" w:rsidRDefault="001E5867" w:rsidP="001E5867">
      <w:pPr>
        <w:pStyle w:val="FPRBodycopy"/>
      </w:pPr>
      <w:r w:rsidRPr="00974CF9">
        <w:t>Protection</w:t>
      </w:r>
    </w:p>
    <w:p w:rsidR="001E5867" w:rsidRDefault="001E5867" w:rsidP="001E5867">
      <w:pPr>
        <w:pStyle w:val="FPRBodycopy"/>
      </w:pPr>
      <w:r>
        <w:t>For</w:t>
      </w:r>
      <w:r w:rsidRPr="007A53FC">
        <w:t xml:space="preserve"> any protection products</w:t>
      </w:r>
      <w:r>
        <w:t xml:space="preserve"> you decide to take out,</w:t>
      </w:r>
      <w:r w:rsidRPr="007A53FC">
        <w:t xml:space="preserve"> the product provider will pay commission to HSBC. Please refer to the product illustration(s) for details of the commission payable.</w:t>
      </w:r>
    </w:p>
    <w:p w:rsidR="001E5867" w:rsidRPr="0039628F" w:rsidDel="009046F8" w:rsidRDefault="001E5867" w:rsidP="001E5867">
      <w:pPr>
        <w:pStyle w:val="FPRBodycopy"/>
      </w:pPr>
    </w:p>
    <w:p w:rsidR="001E5867" w:rsidRPr="00974CF9" w:rsidRDefault="001E5867" w:rsidP="001E5867">
      <w:pPr>
        <w:pStyle w:val="Heading2"/>
      </w:pPr>
      <w:r w:rsidRPr="00974CF9">
        <w:t>Ongoing costs</w:t>
      </w:r>
    </w:p>
    <w:p w:rsidR="001E5867" w:rsidRPr="0039628F" w:rsidRDefault="001E5867" w:rsidP="001E5867">
      <w:pPr>
        <w:pStyle w:val="FPRTitle"/>
        <w:rPr>
          <w:strike/>
        </w:rPr>
      </w:pPr>
      <w:r w:rsidRPr="0039628F">
        <w:t xml:space="preserve">Ongoing costs and charges: </w:t>
      </w:r>
      <w:r w:rsidRPr="00F2052C">
        <w:rPr>
          <w:b/>
        </w:rPr>
        <w:t>£</w:t>
      </w:r>
      <w:r w:rsidR="00E068B1">
        <w:rPr>
          <w:b/>
          <w:highlight w:val="green"/>
        </w:rPr>
        <w:t>INSERT_6</w:t>
      </w:r>
      <w:r w:rsidRPr="00F2052C">
        <w:rPr>
          <w:b/>
        </w:rPr>
        <w:t xml:space="preserve"> </w:t>
      </w:r>
      <w:r w:rsidRPr="0039628F">
        <w:t>a year (estimated)</w:t>
      </w:r>
    </w:p>
    <w:p w:rsidR="001E5867" w:rsidRPr="0039628F" w:rsidRDefault="001E5867" w:rsidP="001E5867">
      <w:pPr>
        <w:pStyle w:val="FPRBodycopy"/>
      </w:pPr>
      <w:r w:rsidRPr="0039628F">
        <w:t>This estimate is based on the total investment amounts detailed earlier, and cover</w:t>
      </w:r>
      <w:r>
        <w:t>s</w:t>
      </w:r>
      <w:r w:rsidRPr="0039628F">
        <w:t xml:space="preserve"> the ongoing running costs.</w:t>
      </w:r>
      <w:r w:rsidRPr="0039628F">
        <w:rPr>
          <w:color w:val="0000FF"/>
        </w:rPr>
        <w:t xml:space="preserve"> </w:t>
      </w:r>
      <w:r w:rsidR="00974CF9" w:rsidRPr="00E068B1">
        <w:t>INSERT_7</w:t>
      </w:r>
    </w:p>
    <w:p w:rsidR="001E5867" w:rsidRPr="0039628F" w:rsidRDefault="001E5867" w:rsidP="001E5867">
      <w:pPr>
        <w:pStyle w:val="FPRBodycopy"/>
      </w:pPr>
    </w:p>
    <w:p w:rsidR="001E5867" w:rsidRPr="00974CF9" w:rsidRDefault="001E5867" w:rsidP="001E5867">
      <w:pPr>
        <w:spacing w:after="0"/>
        <w:rPr>
          <w:rFonts w:ascii="Arial" w:hAnsi="Arial" w:cs="Arial"/>
          <w:sz w:val="20"/>
          <w:szCs w:val="20"/>
        </w:rPr>
      </w:pPr>
      <w:r w:rsidRPr="00974CF9">
        <w:rPr>
          <w:rFonts w:ascii="Arial" w:hAnsi="Arial" w:cs="Arial"/>
          <w:sz w:val="20"/>
          <w:szCs w:val="20"/>
        </w:rPr>
        <w:t>GIC – no specific recommendation for account fee</w:t>
      </w:r>
    </w:p>
    <w:p w:rsidR="001E5867" w:rsidRPr="00306804" w:rsidRDefault="001E5867" w:rsidP="001E5867">
      <w:pPr>
        <w:spacing w:after="0"/>
        <w:rPr>
          <w:rFonts w:ascii="Arial" w:hAnsi="Arial" w:cs="Arial"/>
          <w:sz w:val="20"/>
          <w:szCs w:val="20"/>
        </w:rPr>
      </w:pPr>
      <w:r w:rsidRPr="00306804">
        <w:rPr>
          <w:rFonts w:ascii="Arial" w:hAnsi="Arial" w:cs="Arial"/>
          <w:sz w:val="20"/>
          <w:szCs w:val="20"/>
        </w:rPr>
        <w:t>The ongoing charges for the HSBC Global Investment Centre include an account fee of 0.25%, which will be taken from your nominated account each quarter.</w:t>
      </w:r>
    </w:p>
    <w:p w:rsidR="001E5867" w:rsidRPr="00306804" w:rsidRDefault="001E5867" w:rsidP="001E5867">
      <w:pPr>
        <w:spacing w:after="0"/>
        <w:rPr>
          <w:rFonts w:ascii="Arial" w:hAnsi="Arial" w:cs="Arial"/>
          <w:sz w:val="20"/>
          <w:szCs w:val="20"/>
        </w:rPr>
      </w:pPr>
    </w:p>
    <w:p w:rsidR="001E5867" w:rsidRPr="00306804" w:rsidRDefault="001E5867" w:rsidP="001E5867">
      <w:pPr>
        <w:spacing w:after="0"/>
        <w:rPr>
          <w:rFonts w:ascii="Arial" w:hAnsi="Arial" w:cs="Arial"/>
          <w:sz w:val="20"/>
          <w:szCs w:val="20"/>
        </w:rPr>
      </w:pPr>
      <w:r w:rsidRPr="00974CF9">
        <w:rPr>
          <w:rFonts w:ascii="Arial" w:hAnsi="Arial" w:cs="Arial"/>
          <w:sz w:val="20"/>
          <w:szCs w:val="20"/>
        </w:rPr>
        <w:t>GIC account fee taken from investment for income goals (or growth goals investing all identified investable assets &amp; low NDI</w:t>
      </w:r>
      <w:r w:rsidRPr="00306804">
        <w:rPr>
          <w:rFonts w:ascii="Arial" w:hAnsi="Arial" w:cs="Arial"/>
          <w:sz w:val="20"/>
          <w:szCs w:val="20"/>
        </w:rPr>
        <w:t>)</w:t>
      </w:r>
    </w:p>
    <w:p w:rsidR="001E5867" w:rsidRPr="00306804" w:rsidRDefault="001E5867" w:rsidP="001E5867">
      <w:pPr>
        <w:spacing w:after="0"/>
        <w:rPr>
          <w:rFonts w:ascii="Arial" w:hAnsi="Arial" w:cs="Arial"/>
          <w:sz w:val="20"/>
          <w:szCs w:val="20"/>
        </w:rPr>
      </w:pPr>
      <w:r w:rsidRPr="00306804">
        <w:rPr>
          <w:rFonts w:ascii="Arial" w:hAnsi="Arial" w:cs="Arial"/>
          <w:sz w:val="20"/>
          <w:szCs w:val="20"/>
        </w:rPr>
        <w:t>The ongoing charges for the HSBC Global Investment Centre include an account fee of 0.25%, which will be taken from your investment each quarter.</w:t>
      </w:r>
    </w:p>
    <w:p w:rsidR="001E5867" w:rsidRPr="00C43ED8" w:rsidRDefault="001E5867" w:rsidP="001E5867">
      <w:pPr>
        <w:pStyle w:val="FPRBodycopy"/>
      </w:pPr>
    </w:p>
    <w:p w:rsidR="001E5867" w:rsidRPr="00974CF9" w:rsidRDefault="001E5867" w:rsidP="001E5867">
      <w:pPr>
        <w:pStyle w:val="FPRBodycopy"/>
      </w:pPr>
      <w:r w:rsidRPr="00974CF9">
        <w:t>All</w:t>
      </w:r>
    </w:p>
    <w:p w:rsidR="001E5867" w:rsidRPr="0039628F" w:rsidRDefault="001E5867" w:rsidP="001E5867">
      <w:pPr>
        <w:pStyle w:val="FPRBodycopy"/>
      </w:pPr>
      <w:r w:rsidRPr="0039628F">
        <w:t>The actual product fees you pay will vary according to the value of your investment at the time the fees are due.</w:t>
      </w:r>
      <w:r>
        <w:t xml:space="preserve"> Please note that charges taken from your investment will reduce its value.</w:t>
      </w:r>
    </w:p>
    <w:p w:rsidR="001E5867" w:rsidRPr="0039628F" w:rsidRDefault="001E5867" w:rsidP="001E5867">
      <w:pPr>
        <w:pStyle w:val="FPRBodycopy"/>
      </w:pPr>
    </w:p>
    <w:p w:rsidR="001E5867" w:rsidRPr="0039628F" w:rsidRDefault="001E5867" w:rsidP="001E5867">
      <w:pPr>
        <w:pStyle w:val="FPRBodycopy"/>
      </w:pPr>
      <w:r w:rsidRPr="0039628F">
        <w:t xml:space="preserve">Please refer to </w:t>
      </w:r>
      <w:r>
        <w:t>the product documentation</w:t>
      </w:r>
      <w:r w:rsidRPr="0039628F">
        <w:t xml:space="preserve"> for more information.</w:t>
      </w:r>
    </w:p>
    <w:p w:rsidR="001E5867" w:rsidRPr="0039628F" w:rsidRDefault="001E5867" w:rsidP="001E5867">
      <w:pPr>
        <w:pStyle w:val="FPRBodycopy"/>
        <w:rPr>
          <w:strike/>
        </w:rPr>
      </w:pPr>
    </w:p>
    <w:p w:rsidR="001E5867" w:rsidRPr="00974CF9" w:rsidRDefault="001E5867" w:rsidP="001E5867">
      <w:pPr>
        <w:pStyle w:val="Heading2"/>
      </w:pPr>
      <w:r w:rsidRPr="00974CF9">
        <w:t>Report only fee</w:t>
      </w:r>
    </w:p>
    <w:p w:rsidR="001E5867" w:rsidRPr="00974CF9" w:rsidRDefault="001E5867" w:rsidP="001E5867">
      <w:pPr>
        <w:pStyle w:val="FPRBodycopy"/>
      </w:pPr>
      <w:r w:rsidRPr="00974CF9">
        <w:t>Delete if not applicable eg if no advice fee applies</w:t>
      </w:r>
    </w:p>
    <w:p w:rsidR="001E5867" w:rsidRPr="0039628F" w:rsidRDefault="001E5867" w:rsidP="001E5867">
      <w:pPr>
        <w:pStyle w:val="FPRTitle"/>
      </w:pPr>
      <w:r>
        <w:lastRenderedPageBreak/>
        <w:t>Report only fee</w:t>
      </w:r>
    </w:p>
    <w:p w:rsidR="001E5867" w:rsidRPr="0039628F" w:rsidRDefault="00E068B1" w:rsidP="001E5867">
      <w:pPr>
        <w:pStyle w:val="FPRBodycopy"/>
      </w:pPr>
      <w:sdt>
        <w:sdtPr>
          <w:id w:val="-1374690828"/>
          <w:placeholder>
            <w:docPart w:val="7210859A9C404BCF9B7CBF76A14358B0"/>
          </w:placeholder>
          <w:showingPlcHdr/>
          <w:comboBox>
            <w:listItem w:value="Choose an item."/>
            <w:listItem w:displayText="If you decide not to proceed with my recommendations," w:value="If you decide not to proceed with my recommendations,"/>
            <w:listItem w:displayText="If you decide not to proceed with my recommendations or only want to proceed with my protection recommendations," w:value="If you decide not to proceed with my recommendations or only want to proceed with my protection recommendations,"/>
          </w:comboBox>
        </w:sdtPr>
        <w:sdtEndPr/>
        <w:sdtContent>
          <w:r w:rsidR="00974CF9" w:rsidRPr="000A490D">
            <w:rPr>
              <w:rStyle w:val="PlaceholderText"/>
            </w:rPr>
            <w:t>Field_2</w:t>
          </w:r>
        </w:sdtContent>
      </w:sdt>
      <w:r w:rsidR="001E5867">
        <w:t xml:space="preserve"> </w:t>
      </w:r>
      <w:r w:rsidR="001E5867" w:rsidRPr="0039628F">
        <w:t xml:space="preserve">you’ll pay a Report Only Fee of </w:t>
      </w:r>
      <w:r w:rsidR="001E5867" w:rsidRPr="000B3D6A">
        <w:rPr>
          <w:b/>
        </w:rPr>
        <w:t>£420</w:t>
      </w:r>
      <w:r w:rsidR="001E5867" w:rsidRPr="0039628F">
        <w:t>.</w:t>
      </w:r>
    </w:p>
    <w:p w:rsidR="001E5867" w:rsidRPr="0039628F" w:rsidRDefault="001E5867" w:rsidP="001E5867">
      <w:pPr>
        <w:pStyle w:val="FPRBodycopy"/>
      </w:pPr>
    </w:p>
    <w:p w:rsidR="001E5867" w:rsidRPr="00974CF9" w:rsidRDefault="001E5867" w:rsidP="001E5867">
      <w:pPr>
        <w:pStyle w:val="Heading2"/>
      </w:pPr>
      <w:r w:rsidRPr="00974CF9">
        <w:t>Additional costs</w:t>
      </w:r>
    </w:p>
    <w:p w:rsidR="001E5867" w:rsidRPr="00974CF9" w:rsidRDefault="001E5867" w:rsidP="001E5867">
      <w:pPr>
        <w:pStyle w:val="FPRBodycopy"/>
      </w:pPr>
      <w:r w:rsidRPr="00974CF9">
        <w:t>Disposal – cost/tax implications</w:t>
      </w:r>
    </w:p>
    <w:p w:rsidR="001E5867" w:rsidRPr="0039628F" w:rsidRDefault="001E5867" w:rsidP="001E5867">
      <w:pPr>
        <w:pStyle w:val="FPRTitle"/>
      </w:pPr>
      <w:r w:rsidRPr="0039628F">
        <w:t>Additional costs</w:t>
      </w:r>
    </w:p>
    <w:p w:rsidR="001E5867" w:rsidRPr="0039628F" w:rsidRDefault="001E5867" w:rsidP="001E5867">
      <w:pPr>
        <w:pStyle w:val="FPRBodycopy"/>
      </w:pPr>
      <w:r w:rsidRPr="0039628F">
        <w:t>In addition, making changes to your existing investments will have the following implications:</w:t>
      </w:r>
    </w:p>
    <w:p w:rsidR="001E5867" w:rsidRPr="0039628F" w:rsidRDefault="001E5867" w:rsidP="001E5867">
      <w:pPr>
        <w:pStyle w:val="FPRBodycopy"/>
      </w:pPr>
    </w:p>
    <w:p w:rsidR="001E5867" w:rsidRPr="0039628F" w:rsidRDefault="001E5867" w:rsidP="001E5867">
      <w:pPr>
        <w:pStyle w:val="FPRBodycopy"/>
      </w:pPr>
      <w:r w:rsidRPr="0039628F">
        <w:t>(All figures are approximate and based on the information you provided).</w:t>
      </w:r>
    </w:p>
    <w:p w:rsidR="001E5867" w:rsidRPr="0039628F" w:rsidRDefault="001E5867" w:rsidP="001E5867">
      <w:pPr>
        <w:pStyle w:val="FPRBodycopy"/>
      </w:pPr>
    </w:p>
    <w:p w:rsidR="001E5867" w:rsidRPr="00974CF9" w:rsidRDefault="001E5867" w:rsidP="001E5867">
      <w:pPr>
        <w:pStyle w:val="FPRBodycopy"/>
      </w:pPr>
      <w:r w:rsidRPr="00974CF9">
        <w:t>Include all that apply</w:t>
      </w:r>
    </w:p>
    <w:p w:rsidR="001E5867" w:rsidRPr="0039628F" w:rsidRDefault="001E5867" w:rsidP="001E5867">
      <w:pPr>
        <w:pStyle w:val="FPRBulletPoint1"/>
      </w:pPr>
      <w:r>
        <w:t>y</w:t>
      </w:r>
      <w:r w:rsidRPr="0039628F">
        <w:t xml:space="preserve">ou’ll pay </w:t>
      </w:r>
      <w:r w:rsidRPr="000B3D6A">
        <w:rPr>
          <w:b/>
        </w:rPr>
        <w:t>£</w:t>
      </w:r>
      <w:r w:rsidR="00E068B1">
        <w:rPr>
          <w:b/>
          <w:highlight w:val="green"/>
        </w:rPr>
        <w:t>INSERT_7</w:t>
      </w:r>
      <w:r w:rsidRPr="0039628F">
        <w:t xml:space="preserve"> </w:t>
      </w:r>
      <w:sdt>
        <w:sdtPr>
          <w:id w:val="1290320517"/>
          <w:placeholder>
            <w:docPart w:val="056C7112D477402B914CF2726FDF8BDC"/>
          </w:placeholder>
          <w:showingPlcHdr/>
          <w:comboBox>
            <w:listItem w:value="Choose an item."/>
            <w:listItem w:displayText="more" w:value="more"/>
            <w:listItem w:displayText="less" w:value="less"/>
          </w:comboBox>
        </w:sdtPr>
        <w:sdtEndPr/>
        <w:sdtContent>
          <w:r w:rsidR="00974CF9" w:rsidRPr="000A490D">
            <w:rPr>
              <w:rStyle w:val="PlaceholderText"/>
            </w:rPr>
            <w:t>Field_3</w:t>
          </w:r>
        </w:sdtContent>
      </w:sdt>
      <w:r w:rsidRPr="0039628F">
        <w:t xml:space="preserve"> in ongoing product costs, which may affect the value of your investment</w:t>
      </w:r>
    </w:p>
    <w:p w:rsidR="001E5867" w:rsidRPr="0039628F" w:rsidRDefault="001E5867" w:rsidP="001E5867">
      <w:pPr>
        <w:pStyle w:val="FPRBulletPoint1"/>
      </w:pPr>
      <w:r>
        <w:t>t</w:t>
      </w:r>
      <w:r w:rsidRPr="0039628F">
        <w:t xml:space="preserve">he ongoing charges for the recommended product(s) are higher than for some of your existing products. However, the overall difference in costs is lower </w:t>
      </w:r>
      <w:r>
        <w:t xml:space="preserve">by </w:t>
      </w:r>
      <w:r w:rsidRPr="000B3D6A">
        <w:rPr>
          <w:b/>
        </w:rPr>
        <w:t>£</w:t>
      </w:r>
      <w:r w:rsidR="00E068B1">
        <w:rPr>
          <w:b/>
          <w:highlight w:val="green"/>
        </w:rPr>
        <w:t>INSERT_8</w:t>
      </w:r>
      <w:r w:rsidRPr="000B3D6A">
        <w:rPr>
          <w:b/>
        </w:rPr>
        <w:t xml:space="preserve"> </w:t>
      </w:r>
      <w:r w:rsidRPr="0039628F">
        <w:t>with my recommendation</w:t>
      </w:r>
    </w:p>
    <w:p w:rsidR="001E5867" w:rsidRDefault="001E5867" w:rsidP="001E5867">
      <w:pPr>
        <w:pStyle w:val="FPRBulletPoint1"/>
      </w:pPr>
      <w:r>
        <w:t>y</w:t>
      </w:r>
      <w:r w:rsidRPr="0039628F">
        <w:t xml:space="preserve">ou’ll make an estimated capital gain of </w:t>
      </w:r>
      <w:r w:rsidRPr="000B3D6A">
        <w:rPr>
          <w:b/>
        </w:rPr>
        <w:t>£</w:t>
      </w:r>
      <w:r w:rsidR="00E068B1">
        <w:rPr>
          <w:b/>
          <w:highlight w:val="green"/>
        </w:rPr>
        <w:t>INSERT_9</w:t>
      </w:r>
      <w:r>
        <w:t xml:space="preserve"> on </w:t>
      </w:r>
      <w:sdt>
        <w:sdtPr>
          <w:id w:val="-1748023983"/>
          <w:placeholder>
            <w:docPart w:val="B6F08608955D45E5AF405A6D9A57C33B"/>
          </w:placeholder>
          <w:showingPlcHdr/>
          <w:comboBox>
            <w:listItem w:value="Choose an item."/>
            <w:listItem w:displayText="disposal" w:value="disposal"/>
            <w:listItem w:displayText="sale" w:value="sale"/>
            <w:listItem w:displayText="transfer" w:value="transfer"/>
            <w:listItem w:displayText="switch" w:value="switch"/>
          </w:comboBox>
        </w:sdtPr>
        <w:sdtEndPr/>
        <w:sdtContent>
          <w:r w:rsidR="00974CF9" w:rsidRPr="000A490D">
            <w:rPr>
              <w:rStyle w:val="PlaceholderText"/>
            </w:rPr>
            <w:t>Field_4</w:t>
          </w:r>
        </w:sdtContent>
      </w:sdt>
      <w:r>
        <w:t xml:space="preserve"> of your </w:t>
      </w:r>
      <w:r w:rsidR="00E068B1">
        <w:rPr>
          <w:highlight w:val="green"/>
        </w:rPr>
        <w:t>INSERT_10</w:t>
      </w:r>
    </w:p>
    <w:p w:rsidR="001E5867" w:rsidRDefault="001E5867" w:rsidP="001E5867">
      <w:pPr>
        <w:pStyle w:val="FPRBulletPoint1"/>
      </w:pPr>
      <w:r>
        <w:t>y</w:t>
      </w:r>
      <w:r w:rsidRPr="0039628F">
        <w:t xml:space="preserve">ou may have to pay Capital Gains Tax of </w:t>
      </w:r>
      <w:r w:rsidRPr="000B3D6A">
        <w:rPr>
          <w:b/>
        </w:rPr>
        <w:t>£</w:t>
      </w:r>
      <w:r w:rsidR="00E068B1">
        <w:rPr>
          <w:b/>
          <w:highlight w:val="green"/>
        </w:rPr>
        <w:t>INSERT_11</w:t>
      </w:r>
      <w:r w:rsidRPr="0039628F">
        <w:t xml:space="preserve"> (estimated)</w:t>
      </w:r>
    </w:p>
    <w:p w:rsidR="001E5867" w:rsidRPr="004352E6" w:rsidRDefault="001E5867" w:rsidP="001E5867">
      <w:pPr>
        <w:pStyle w:val="FPRBulletPoint1"/>
      </w:pPr>
      <w:r w:rsidRPr="004352E6">
        <w:t xml:space="preserve">you </w:t>
      </w:r>
      <w:r>
        <w:t>don’t appear to have a</w:t>
      </w:r>
      <w:r w:rsidRPr="004352E6">
        <w:t xml:space="preserve"> Capital Gains Tax </w:t>
      </w:r>
      <w:r>
        <w:t>liability</w:t>
      </w:r>
    </w:p>
    <w:p w:rsidR="001E5867" w:rsidRPr="0039628F" w:rsidRDefault="001E5867" w:rsidP="001E5867">
      <w:pPr>
        <w:pStyle w:val="FPRBulletPoint1"/>
      </w:pPr>
      <w:r>
        <w:t>y</w:t>
      </w:r>
      <w:r w:rsidRPr="0039628F">
        <w:t xml:space="preserve">ou’ll pay additional costs of </w:t>
      </w:r>
      <w:r w:rsidRPr="000B3D6A">
        <w:rPr>
          <w:b/>
        </w:rPr>
        <w:t>£</w:t>
      </w:r>
      <w:r w:rsidR="00E068B1">
        <w:rPr>
          <w:b/>
          <w:highlight w:val="green"/>
        </w:rPr>
        <w:t>INSERT_12</w:t>
      </w:r>
      <w:r w:rsidRPr="0039628F">
        <w:t xml:space="preserve"> for </w:t>
      </w:r>
      <w:r w:rsidR="00E068B1">
        <w:rPr>
          <w:highlight w:val="green"/>
        </w:rPr>
        <w:t>INSERT_13</w:t>
      </w:r>
    </w:p>
    <w:p w:rsidR="001E5867" w:rsidRPr="0039628F" w:rsidRDefault="001E5867" w:rsidP="001E5867">
      <w:pPr>
        <w:pStyle w:val="FPRBulletPoint1"/>
      </w:pPr>
      <w:r>
        <w:t>y</w:t>
      </w:r>
      <w:r w:rsidRPr="0039628F">
        <w:t xml:space="preserve">ou may lose potential benefits worth </w:t>
      </w:r>
      <w:r w:rsidRPr="000B3D6A">
        <w:rPr>
          <w:b/>
        </w:rPr>
        <w:t>£</w:t>
      </w:r>
      <w:r w:rsidR="00E068B1">
        <w:rPr>
          <w:b/>
          <w:highlight w:val="green"/>
        </w:rPr>
        <w:t>INSERT_14</w:t>
      </w:r>
      <w:r w:rsidRPr="0039628F">
        <w:t xml:space="preserve"> for </w:t>
      </w:r>
      <w:r w:rsidR="00E068B1">
        <w:rPr>
          <w:highlight w:val="green"/>
        </w:rPr>
        <w:t>INSERT_15</w:t>
      </w:r>
    </w:p>
    <w:p w:rsidR="001E5867" w:rsidRPr="0039628F" w:rsidRDefault="001E5867" w:rsidP="001E5867">
      <w:pPr>
        <w:pStyle w:val="FPRBulletPoint1"/>
      </w:pPr>
      <w:r>
        <w:t>t</w:t>
      </w:r>
      <w:r w:rsidRPr="0039628F">
        <w:t xml:space="preserve">he value of your investment may be reduced due to </w:t>
      </w:r>
      <w:r w:rsidR="00E068B1">
        <w:rPr>
          <w:highlight w:val="green"/>
        </w:rPr>
        <w:t>INSERT_16</w:t>
      </w:r>
    </w:p>
    <w:p w:rsidR="001E5867" w:rsidRDefault="001E5867" w:rsidP="001E5867">
      <w:pPr>
        <w:pStyle w:val="FPRBulletPoint1"/>
      </w:pPr>
      <w:r>
        <w:t>y</w:t>
      </w:r>
      <w:r w:rsidRPr="0039628F">
        <w:t xml:space="preserve">ou’ll make an estimated </w:t>
      </w:r>
      <w:r>
        <w:t>chargeable event</w:t>
      </w:r>
      <w:r w:rsidRPr="0039628F">
        <w:t xml:space="preserve"> of </w:t>
      </w:r>
      <w:r w:rsidRPr="000B3D6A">
        <w:rPr>
          <w:b/>
        </w:rPr>
        <w:t>£</w:t>
      </w:r>
      <w:r w:rsidR="00E068B1">
        <w:rPr>
          <w:b/>
          <w:highlight w:val="green"/>
        </w:rPr>
        <w:t>INSERT_17</w:t>
      </w:r>
      <w:r>
        <w:t xml:space="preserve"> on surrender of your </w:t>
      </w:r>
      <w:r w:rsidR="00E068B1">
        <w:rPr>
          <w:highlight w:val="green"/>
        </w:rPr>
        <w:t>INSERT_18</w:t>
      </w:r>
      <w:r>
        <w:t xml:space="preserve">, </w:t>
      </w:r>
    </w:p>
    <w:p w:rsidR="001E5867" w:rsidRDefault="001E5867" w:rsidP="001E5867">
      <w:pPr>
        <w:pStyle w:val="FPRBulletPoint1"/>
      </w:pPr>
      <w:r>
        <w:t xml:space="preserve">you may have to pay Income Tax </w:t>
      </w:r>
      <w:r w:rsidRPr="0039628F">
        <w:t xml:space="preserve">of </w:t>
      </w:r>
      <w:r w:rsidRPr="000B3D6A">
        <w:rPr>
          <w:b/>
        </w:rPr>
        <w:t>£</w:t>
      </w:r>
      <w:r w:rsidR="00E068B1">
        <w:rPr>
          <w:b/>
          <w:highlight w:val="green"/>
        </w:rPr>
        <w:t>INSERT_19</w:t>
      </w:r>
      <w:r w:rsidRPr="0039628F">
        <w:t xml:space="preserve"> (estimated)</w:t>
      </w:r>
    </w:p>
    <w:p w:rsidR="001E5867" w:rsidRDefault="001E5867" w:rsidP="001E5867">
      <w:pPr>
        <w:pStyle w:val="FPRBulletPoint1"/>
      </w:pPr>
      <w:r w:rsidRPr="004352E6">
        <w:t xml:space="preserve">you </w:t>
      </w:r>
      <w:r>
        <w:t xml:space="preserve">don’t appear to have any further Income </w:t>
      </w:r>
      <w:r w:rsidRPr="004352E6">
        <w:t xml:space="preserve">Tax </w:t>
      </w:r>
      <w:r>
        <w:t>liability</w:t>
      </w:r>
    </w:p>
    <w:p w:rsidR="001E5867" w:rsidRPr="00E62436" w:rsidRDefault="00E068B1" w:rsidP="001E5867">
      <w:pPr>
        <w:pStyle w:val="FPRBodycopy"/>
      </w:pPr>
      <w:r>
        <w:rPr>
          <w:highlight w:val="green"/>
        </w:rPr>
        <w:t>INSERT_20</w:t>
      </w:r>
    </w:p>
    <w:p w:rsidR="001E5867" w:rsidRPr="00974CF9" w:rsidRDefault="001E5867" w:rsidP="001E5867">
      <w:pPr>
        <w:pStyle w:val="FPRBodycopy"/>
      </w:pPr>
      <w:r w:rsidRPr="00974CF9">
        <w:t>Disposal/surrender/switch</w:t>
      </w:r>
    </w:p>
    <w:p w:rsidR="001E5867" w:rsidRPr="00E62436" w:rsidRDefault="001E5867" w:rsidP="001E5867">
      <w:pPr>
        <w:pStyle w:val="FPRBodycopy"/>
      </w:pPr>
      <w:r w:rsidRPr="00E62436">
        <w:t xml:space="preserve">You won’t be able to work out your actual tax liability until the end of the tax year. This is because you need to account for other transactions or changes to your income that may affect the amount of tax you have to pay. </w:t>
      </w:r>
    </w:p>
    <w:p w:rsidR="001E5867" w:rsidRPr="00E62436" w:rsidRDefault="001E5867" w:rsidP="001E5867">
      <w:pPr>
        <w:pStyle w:val="FPRBodycopy"/>
      </w:pPr>
    </w:p>
    <w:p w:rsidR="001E5867" w:rsidRPr="00E62436" w:rsidRDefault="001E5867" w:rsidP="001E5867">
      <w:pPr>
        <w:pStyle w:val="FPRBodycopy"/>
      </w:pPr>
      <w:r w:rsidRPr="00E62436">
        <w:t>My estimate is for indicative purposes and doesn’t constitute tax advice. Please speak to a professional tax adviser for further guidance or advice.</w:t>
      </w:r>
    </w:p>
    <w:p w:rsidR="00FD3FF9" w:rsidRDefault="00E068B1">
      <w:r>
        <w:rPr>
          <w:rFonts w:ascii="Arial" w:hAnsi="Arial" w:cs="Arial"/>
          <w:sz w:val="20"/>
          <w:szCs w:val="20"/>
          <w:highlight w:val="green"/>
        </w:rPr>
        <w:t>INSERT_21</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67"/>
    <w:rsid w:val="001E5867"/>
    <w:rsid w:val="00974CF9"/>
    <w:rsid w:val="00E068B1"/>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62F3B-56EE-4629-85C9-643C7993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67"/>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1E5867"/>
    <w:pPr>
      <w:keepNext/>
      <w:keepLines/>
      <w:spacing w:before="12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6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1E5867"/>
    <w:rPr>
      <w:rFonts w:ascii="Arial" w:eastAsiaTheme="majorEastAsia" w:hAnsi="Arial" w:cstheme="majorBidi"/>
      <w:sz w:val="26"/>
      <w:szCs w:val="26"/>
    </w:rPr>
  </w:style>
  <w:style w:type="paragraph" w:customStyle="1" w:styleId="FPRBodycopy">
    <w:name w:val="FPR Body copy"/>
    <w:basedOn w:val="Normal"/>
    <w:link w:val="FPRBodycopyChar"/>
    <w:qFormat/>
    <w:rsid w:val="001E5867"/>
    <w:pPr>
      <w:spacing w:after="0"/>
    </w:pPr>
    <w:rPr>
      <w:rFonts w:ascii="Arial" w:hAnsi="Arial" w:cs="Arial"/>
      <w:sz w:val="20"/>
      <w:szCs w:val="20"/>
    </w:rPr>
  </w:style>
  <w:style w:type="character" w:customStyle="1" w:styleId="FPRBodycopyChar">
    <w:name w:val="FPR Body copy Char"/>
    <w:basedOn w:val="DefaultParagraphFont"/>
    <w:link w:val="FPRBodycopy"/>
    <w:rsid w:val="001E5867"/>
    <w:rPr>
      <w:rFonts w:ascii="Arial" w:hAnsi="Arial" w:cs="Arial"/>
      <w:sz w:val="20"/>
      <w:szCs w:val="20"/>
    </w:rPr>
  </w:style>
  <w:style w:type="paragraph" w:customStyle="1" w:styleId="FPRSectionHeader">
    <w:name w:val="FPR Section Header"/>
    <w:basedOn w:val="Normal"/>
    <w:qFormat/>
    <w:rsid w:val="001E5867"/>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1E5867"/>
    <w:pPr>
      <w:spacing w:after="0" w:line="360" w:lineRule="auto"/>
    </w:pPr>
    <w:rPr>
      <w:rFonts w:ascii="Arial" w:hAnsi="Arial" w:cs="Arial"/>
      <w:sz w:val="28"/>
      <w:szCs w:val="28"/>
    </w:rPr>
  </w:style>
  <w:style w:type="paragraph" w:customStyle="1" w:styleId="FPRBulletPoint1">
    <w:name w:val="FPR Bullet Point 1"/>
    <w:basedOn w:val="ListParagraph"/>
    <w:link w:val="FPRBulletPoint1Char"/>
    <w:qFormat/>
    <w:rsid w:val="001E5867"/>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1E5867"/>
    <w:rPr>
      <w:rFonts w:ascii="Arial" w:hAnsi="Arial" w:cs="Arial"/>
      <w:sz w:val="20"/>
      <w:szCs w:val="20"/>
    </w:rPr>
  </w:style>
  <w:style w:type="character" w:customStyle="1" w:styleId="FPRTitleChar">
    <w:name w:val="FPR Title Char"/>
    <w:basedOn w:val="DefaultParagraphFont"/>
    <w:link w:val="FPRTitle"/>
    <w:rsid w:val="001E5867"/>
    <w:rPr>
      <w:rFonts w:ascii="Arial" w:hAnsi="Arial" w:cs="Arial"/>
      <w:sz w:val="28"/>
      <w:szCs w:val="28"/>
    </w:rPr>
  </w:style>
  <w:style w:type="paragraph" w:styleId="ListParagraph">
    <w:name w:val="List Paragraph"/>
    <w:basedOn w:val="Normal"/>
    <w:uiPriority w:val="34"/>
    <w:qFormat/>
    <w:rsid w:val="001E5867"/>
    <w:pPr>
      <w:ind w:left="720"/>
      <w:contextualSpacing/>
    </w:pPr>
  </w:style>
  <w:style w:type="character" w:styleId="PlaceholderText">
    <w:name w:val="Placeholder Text"/>
    <w:basedOn w:val="DefaultParagraphFont"/>
    <w:uiPriority w:val="99"/>
    <w:semiHidden/>
    <w:rsid w:val="00974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561A3837F24549B937BEFBC7D91CCD"/>
        <w:category>
          <w:name w:val="General"/>
          <w:gallery w:val="placeholder"/>
        </w:category>
        <w:types>
          <w:type w:val="bbPlcHdr"/>
        </w:types>
        <w:behaviors>
          <w:behavior w:val="content"/>
        </w:behaviors>
        <w:guid w:val="{22E602E7-6298-45C8-A3CA-C1ECE0DE1F9C}"/>
      </w:docPartPr>
      <w:docPartBody>
        <w:p w:rsidR="00A44725" w:rsidRDefault="00C35485">
          <w:r w:rsidRPr="000A490D">
            <w:rPr>
              <w:rStyle w:val="PlaceholderText"/>
            </w:rPr>
            <w:t>Field_1</w:t>
          </w:r>
        </w:p>
      </w:docPartBody>
    </w:docPart>
    <w:docPart>
      <w:docPartPr>
        <w:name w:val="7210859A9C404BCF9B7CBF76A14358B0"/>
        <w:category>
          <w:name w:val="General"/>
          <w:gallery w:val="placeholder"/>
        </w:category>
        <w:types>
          <w:type w:val="bbPlcHdr"/>
        </w:types>
        <w:behaviors>
          <w:behavior w:val="content"/>
        </w:behaviors>
        <w:guid w:val="{4814E8D1-5665-4C0C-87C9-DB8C84CDAB15}"/>
      </w:docPartPr>
      <w:docPartBody>
        <w:p w:rsidR="00A44725" w:rsidRDefault="00C35485">
          <w:r w:rsidRPr="000A490D">
            <w:rPr>
              <w:rStyle w:val="PlaceholderText"/>
            </w:rPr>
            <w:t>Field_2</w:t>
          </w:r>
        </w:p>
      </w:docPartBody>
    </w:docPart>
    <w:docPart>
      <w:docPartPr>
        <w:name w:val="056C7112D477402B914CF2726FDF8BDC"/>
        <w:category>
          <w:name w:val="General"/>
          <w:gallery w:val="placeholder"/>
        </w:category>
        <w:types>
          <w:type w:val="bbPlcHdr"/>
        </w:types>
        <w:behaviors>
          <w:behavior w:val="content"/>
        </w:behaviors>
        <w:guid w:val="{1266AA8F-BA89-4E28-8AB2-C038BF75360F}"/>
      </w:docPartPr>
      <w:docPartBody>
        <w:p w:rsidR="00A44725" w:rsidRDefault="00C35485">
          <w:r w:rsidRPr="000A490D">
            <w:rPr>
              <w:rStyle w:val="PlaceholderText"/>
            </w:rPr>
            <w:t>Field_3</w:t>
          </w:r>
        </w:p>
      </w:docPartBody>
    </w:docPart>
    <w:docPart>
      <w:docPartPr>
        <w:name w:val="B6F08608955D45E5AF405A6D9A57C33B"/>
        <w:category>
          <w:name w:val="General"/>
          <w:gallery w:val="placeholder"/>
        </w:category>
        <w:types>
          <w:type w:val="bbPlcHdr"/>
        </w:types>
        <w:behaviors>
          <w:behavior w:val="content"/>
        </w:behaviors>
        <w:guid w:val="{2282F10F-BAEB-4E95-99EE-458712CBC3DF}"/>
      </w:docPartPr>
      <w:docPartBody>
        <w:p w:rsidR="00A44725" w:rsidRDefault="00C35485">
          <w:r w:rsidRPr="000A490D">
            <w:rPr>
              <w:rStyle w:val="PlaceholderText"/>
            </w:rPr>
            <w:t>Field_4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F6"/>
    <w:rsid w:val="00A44725"/>
    <w:rsid w:val="00C35485"/>
    <w:rsid w:val="00E9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4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