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897" w:rsidRDefault="001C5897" w:rsidP="00954D17">
      <w:pPr>
        <w:pStyle w:val="NormalWeb"/>
        <w:spacing w:before="280" w:beforeAutospacing="0" w:after="40" w:afterAutospacing="0" w:line="360" w:lineRule="auto"/>
        <w:jc w:val="center"/>
        <w:rPr>
          <w:rFonts w:eastAsia="+mn-ea"/>
          <w:b/>
          <w:bCs/>
          <w:spacing w:val="2"/>
          <w:kern w:val="24"/>
          <w:u w:val="single"/>
        </w:rPr>
      </w:pPr>
      <w:r>
        <w:rPr>
          <w:rFonts w:eastAsia="+mn-ea"/>
          <w:b/>
          <w:bCs/>
          <w:spacing w:val="2"/>
          <w:kern w:val="24"/>
          <w:u w:val="single"/>
        </w:rPr>
        <w:t>Disposiciones Generales</w:t>
      </w:r>
    </w:p>
    <w:p w:rsidR="001C5897" w:rsidRDefault="001C5897" w:rsidP="001C5897">
      <w:pPr>
        <w:pStyle w:val="NormalWeb"/>
        <w:spacing w:line="360" w:lineRule="auto"/>
        <w:ind w:left="58"/>
        <w:jc w:val="both"/>
        <w:rPr>
          <w:rFonts w:eastAsia="+mn-ea"/>
          <w:b/>
          <w:bCs/>
          <w:spacing w:val="2"/>
          <w:kern w:val="24"/>
          <w:u w:val="single"/>
        </w:rPr>
      </w:pPr>
      <w:r>
        <w:rPr>
          <w:rFonts w:eastAsia="+mn-ea"/>
          <w:b/>
          <w:bCs/>
          <w:spacing w:val="2"/>
          <w:kern w:val="24"/>
          <w:u w:val="single"/>
        </w:rPr>
        <w:t xml:space="preserve">Aplicación de las disposiciones incorporadas </w:t>
      </w:r>
    </w:p>
    <w:p w:rsidR="001C5897" w:rsidRDefault="001C5897" w:rsidP="001C5897">
      <w:pPr>
        <w:pStyle w:val="NormalWeb"/>
        <w:spacing w:line="360" w:lineRule="auto"/>
        <w:ind w:left="58" w:firstLine="650"/>
        <w:jc w:val="both"/>
        <w:rPr>
          <w:rFonts w:eastAsia="+mn-ea"/>
          <w:b/>
          <w:bCs/>
          <w:spacing w:val="2"/>
          <w:kern w:val="24"/>
        </w:rPr>
      </w:pPr>
      <w:r>
        <w:rPr>
          <w:rFonts w:eastAsia="+mn-ea"/>
          <w:bCs/>
          <w:spacing w:val="2"/>
          <w:kern w:val="24"/>
        </w:rPr>
        <w:t xml:space="preserve">Respecto a la aplicación de las disposiciones incorporadas en el CCYCN el </w:t>
      </w:r>
      <w:r>
        <w:rPr>
          <w:rFonts w:eastAsia="+mn-ea"/>
          <w:b/>
          <w:bCs/>
          <w:spacing w:val="2"/>
          <w:kern w:val="24"/>
        </w:rPr>
        <w:t xml:space="preserve">art. 1378 </w:t>
      </w:r>
      <w:r>
        <w:rPr>
          <w:rFonts w:eastAsia="+mn-ea"/>
          <w:bCs/>
          <w:spacing w:val="2"/>
          <w:kern w:val="24"/>
        </w:rPr>
        <w:t xml:space="preserve">enuncia que </w:t>
      </w:r>
      <w:r>
        <w:rPr>
          <w:rFonts w:eastAsia="+mn-ea"/>
          <w:b/>
          <w:bCs/>
          <w:spacing w:val="2"/>
          <w:kern w:val="24"/>
        </w:rPr>
        <w:t xml:space="preserve"> </w:t>
      </w:r>
      <w:r>
        <w:rPr>
          <w:rFonts w:eastAsia="+mn-ea"/>
          <w:spacing w:val="2"/>
          <w:kern w:val="24"/>
        </w:rPr>
        <w:t>las normativas relativas a los contratos bancarios previstas en el código se aplican a los celebrados con las entidades comprendidas en la normativa sobre entidades financieras, y con las personas y entidades públicas y privadas no comprendidas expresamente en esa legislación cuando el Banco Central de la República Argentina (BCRA) disponga que dicha normativa les es aplicable.</w:t>
      </w:r>
      <w:r>
        <w:t xml:space="preserve"> </w:t>
      </w:r>
    </w:p>
    <w:p w:rsidR="001C5897" w:rsidRPr="00F665E4" w:rsidRDefault="001C5897" w:rsidP="00F665E4">
      <w:pPr>
        <w:spacing w:line="360" w:lineRule="auto"/>
        <w:ind w:firstLine="708"/>
        <w:jc w:val="both"/>
        <w:rPr>
          <w:rFonts w:ascii="Times New Roman" w:eastAsia="+mn-ea" w:hAnsi="Times New Roman"/>
          <w:spacing w:val="2"/>
          <w:kern w:val="24"/>
          <w:sz w:val="24"/>
          <w:szCs w:val="24"/>
        </w:rPr>
      </w:pPr>
      <w:r>
        <w:rPr>
          <w:rFonts w:ascii="Times New Roman" w:eastAsia="+mn-ea" w:hAnsi="Times New Roman"/>
          <w:spacing w:val="2"/>
          <w:kern w:val="24"/>
          <w:sz w:val="24"/>
          <w:szCs w:val="24"/>
        </w:rPr>
        <w:t xml:space="preserve">Ahora bien, para establecer cuáles son estas entidades, hay que recurrir a la </w:t>
      </w:r>
      <w:r>
        <w:rPr>
          <w:rFonts w:ascii="Times New Roman" w:eastAsia="+mn-ea" w:hAnsi="Times New Roman"/>
          <w:b/>
          <w:spacing w:val="2"/>
          <w:kern w:val="24"/>
          <w:sz w:val="24"/>
          <w:szCs w:val="24"/>
        </w:rPr>
        <w:t xml:space="preserve">ley </w:t>
      </w:r>
      <w:r w:rsidR="00F665E4">
        <w:rPr>
          <w:rFonts w:ascii="Times New Roman" w:eastAsia="+mn-ea" w:hAnsi="Times New Roman"/>
          <w:b/>
          <w:spacing w:val="2"/>
          <w:kern w:val="24"/>
          <w:sz w:val="24"/>
          <w:szCs w:val="24"/>
        </w:rPr>
        <w:t xml:space="preserve">21.526 de entidades financieras, </w:t>
      </w:r>
      <w:r w:rsidR="00F665E4">
        <w:rPr>
          <w:rFonts w:ascii="Times New Roman" w:eastAsia="+mn-ea" w:hAnsi="Times New Roman"/>
          <w:spacing w:val="2"/>
          <w:kern w:val="24"/>
          <w:sz w:val="24"/>
          <w:szCs w:val="24"/>
        </w:rPr>
        <w:t xml:space="preserve">la cual enumera </w:t>
      </w:r>
      <w:r>
        <w:rPr>
          <w:rFonts w:ascii="Times New Roman" w:eastAsia="+mn-ea" w:hAnsi="Times New Roman"/>
          <w:spacing w:val="2"/>
          <w:kern w:val="24"/>
          <w:sz w:val="24"/>
          <w:szCs w:val="24"/>
        </w:rPr>
        <w:t>entidades bancarias (b</w:t>
      </w:r>
      <w:r w:rsidR="00954D17">
        <w:rPr>
          <w:rFonts w:ascii="Times New Roman" w:eastAsia="+mn-ea" w:hAnsi="Times New Roman"/>
          <w:spacing w:val="2"/>
          <w:kern w:val="24"/>
          <w:sz w:val="24"/>
          <w:szCs w:val="24"/>
        </w:rPr>
        <w:t>ancos comerciales, de inversión e</w:t>
      </w:r>
      <w:r>
        <w:rPr>
          <w:rFonts w:ascii="Times New Roman" w:eastAsia="+mn-ea" w:hAnsi="Times New Roman"/>
          <w:spacing w:val="2"/>
          <w:kern w:val="24"/>
          <w:sz w:val="24"/>
          <w:szCs w:val="24"/>
        </w:rPr>
        <w:t xml:space="preserve"> </w:t>
      </w:r>
      <w:r w:rsidR="00F665E4">
        <w:rPr>
          <w:rFonts w:ascii="Times New Roman" w:eastAsia="+mn-ea" w:hAnsi="Times New Roman"/>
          <w:spacing w:val="2"/>
          <w:kern w:val="24"/>
          <w:sz w:val="24"/>
          <w:szCs w:val="24"/>
        </w:rPr>
        <w:t>hipotecarios) y</w:t>
      </w:r>
      <w:r>
        <w:rPr>
          <w:rFonts w:ascii="Times New Roman" w:eastAsia="+mn-ea" w:hAnsi="Times New Roman"/>
          <w:spacing w:val="2"/>
          <w:kern w:val="24"/>
          <w:sz w:val="24"/>
          <w:szCs w:val="24"/>
        </w:rPr>
        <w:t xml:space="preserve"> entidades no bancarias (compañías financieras, sociedades de ahorro y </w:t>
      </w:r>
      <w:r w:rsidRPr="00F665E4">
        <w:rPr>
          <w:rFonts w:ascii="Times New Roman" w:eastAsia="+mn-ea" w:hAnsi="Times New Roman"/>
          <w:spacing w:val="2"/>
          <w:kern w:val="24"/>
          <w:sz w:val="24"/>
          <w:szCs w:val="24"/>
        </w:rPr>
        <w:t>préstamo para la vivienda u otros in</w:t>
      </w:r>
      <w:r w:rsidR="00F665E4" w:rsidRPr="00F665E4">
        <w:rPr>
          <w:rFonts w:ascii="Times New Roman" w:eastAsia="+mn-ea" w:hAnsi="Times New Roman"/>
          <w:spacing w:val="2"/>
          <w:kern w:val="24"/>
          <w:sz w:val="24"/>
          <w:szCs w:val="24"/>
        </w:rPr>
        <w:t xml:space="preserve">muebles y las cajas de crédito); </w:t>
      </w:r>
      <w:r w:rsidR="00F665E4" w:rsidRPr="00F665E4">
        <w:rPr>
          <w:rFonts w:ascii="Times New Roman" w:eastAsia="+mn-ea" w:hAnsi="Times New Roman"/>
          <w:spacing w:val="2"/>
          <w:kern w:val="24"/>
        </w:rPr>
        <w:t>e</w:t>
      </w:r>
      <w:r w:rsidRPr="00F665E4">
        <w:rPr>
          <w:rFonts w:ascii="Times New Roman" w:eastAsia="+mn-ea" w:hAnsi="Times New Roman"/>
          <w:spacing w:val="2"/>
          <w:kern w:val="24"/>
        </w:rPr>
        <w:t xml:space="preserve">sta </w:t>
      </w:r>
      <w:r w:rsidR="00954D17">
        <w:rPr>
          <w:rFonts w:ascii="Times New Roman" w:eastAsia="+mn-ea" w:hAnsi="Times New Roman"/>
          <w:spacing w:val="2"/>
          <w:kern w:val="24"/>
        </w:rPr>
        <w:t xml:space="preserve">enumeración </w:t>
      </w:r>
      <w:r w:rsidRPr="00F665E4">
        <w:rPr>
          <w:rFonts w:ascii="Times New Roman" w:eastAsia="+mn-ea" w:hAnsi="Times New Roman"/>
          <w:spacing w:val="2"/>
          <w:kern w:val="24"/>
        </w:rPr>
        <w:t>es enunciativa de los sujetos que intermedian habitualmente entre la oferta y la demanda</w:t>
      </w:r>
      <w:r w:rsidR="00F665E4" w:rsidRPr="00F665E4">
        <w:rPr>
          <w:rFonts w:ascii="Times New Roman" w:eastAsia="+mn-ea" w:hAnsi="Times New Roman"/>
          <w:spacing w:val="2"/>
          <w:kern w:val="24"/>
        </w:rPr>
        <w:t xml:space="preserve"> de recursos financieros.  Asimismo, dispone que </w:t>
      </w:r>
      <w:proofErr w:type="gramStart"/>
      <w:r w:rsidR="00F665E4" w:rsidRPr="00F665E4">
        <w:rPr>
          <w:rFonts w:ascii="Times New Roman" w:eastAsia="+mn-ea" w:hAnsi="Times New Roman"/>
          <w:spacing w:val="2"/>
          <w:kern w:val="24"/>
        </w:rPr>
        <w:t>delega</w:t>
      </w:r>
      <w:proofErr w:type="gramEnd"/>
      <w:r w:rsidR="00F665E4" w:rsidRPr="00F665E4">
        <w:rPr>
          <w:rFonts w:ascii="Times New Roman" w:eastAsia="+mn-ea" w:hAnsi="Times New Roman"/>
          <w:spacing w:val="2"/>
          <w:kern w:val="24"/>
        </w:rPr>
        <w:t xml:space="preserve"> a juicio del </w:t>
      </w:r>
      <w:r w:rsidR="0022035E">
        <w:rPr>
          <w:rFonts w:ascii="Times New Roman" w:eastAsia="+mn-ea" w:hAnsi="Times New Roman"/>
          <w:spacing w:val="2"/>
          <w:kern w:val="24"/>
        </w:rPr>
        <w:t>BCRA</w:t>
      </w:r>
      <w:r w:rsidRPr="00F665E4">
        <w:rPr>
          <w:rFonts w:ascii="Times New Roman" w:eastAsia="+mn-ea" w:hAnsi="Times New Roman"/>
          <w:spacing w:val="2"/>
          <w:kern w:val="24"/>
        </w:rPr>
        <w:t xml:space="preserve"> la inclusión  de otros sujetos.</w:t>
      </w:r>
    </w:p>
    <w:p w:rsidR="001C5897" w:rsidRDefault="001C5897" w:rsidP="00F665E4">
      <w:pPr>
        <w:spacing w:line="360" w:lineRule="auto"/>
        <w:ind w:firstLine="708"/>
        <w:jc w:val="both"/>
        <w:rPr>
          <w:rFonts w:ascii="Times New Roman" w:eastAsia="+mn-ea" w:hAnsi="Times New Roman"/>
          <w:spacing w:val="2"/>
          <w:kern w:val="24"/>
          <w:sz w:val="24"/>
          <w:szCs w:val="24"/>
        </w:rPr>
      </w:pPr>
      <w:r>
        <w:rPr>
          <w:rFonts w:ascii="Times New Roman" w:eastAsia="+mn-ea" w:hAnsi="Times New Roman"/>
          <w:spacing w:val="2"/>
          <w:kern w:val="24"/>
          <w:sz w:val="24"/>
          <w:szCs w:val="24"/>
        </w:rPr>
        <w:t xml:space="preserve"> Ante lo</w:t>
      </w:r>
      <w:r w:rsidR="00F665E4">
        <w:rPr>
          <w:rFonts w:ascii="Times New Roman" w:eastAsia="+mn-ea" w:hAnsi="Times New Roman"/>
          <w:spacing w:val="2"/>
          <w:kern w:val="24"/>
          <w:sz w:val="24"/>
          <w:szCs w:val="24"/>
        </w:rPr>
        <w:t xml:space="preserve"> mencionado, </w:t>
      </w:r>
      <w:r>
        <w:rPr>
          <w:rFonts w:ascii="Times New Roman" w:eastAsia="+mn-ea" w:hAnsi="Times New Roman"/>
          <w:spacing w:val="2"/>
          <w:kern w:val="24"/>
          <w:sz w:val="24"/>
          <w:szCs w:val="24"/>
        </w:rPr>
        <w:t xml:space="preserve">si bien las disposiciones previstas como parte general son aplicables a todos los sujetos o entidades antes dichas, no ocurre lo mismo con la posibilidad de celebrar cada uno de los contratos bancarios. Esto dependerá de que estén facultadas legalmente para realizar la operación económica que será objeto de ese contrato.  </w:t>
      </w:r>
    </w:p>
    <w:p w:rsidR="001C5897" w:rsidRDefault="001C5897" w:rsidP="001C5897">
      <w:pPr>
        <w:spacing w:line="360" w:lineRule="auto"/>
        <w:jc w:val="both"/>
        <w:rPr>
          <w:rFonts w:ascii="Times New Roman" w:eastAsia="+mn-ea" w:hAnsi="Times New Roman"/>
          <w:b/>
          <w:spacing w:val="2"/>
          <w:kern w:val="24"/>
          <w:sz w:val="24"/>
          <w:szCs w:val="24"/>
          <w:u w:val="single"/>
        </w:rPr>
      </w:pPr>
      <w:r>
        <w:rPr>
          <w:rFonts w:ascii="Times New Roman" w:eastAsia="+mn-ea" w:hAnsi="Times New Roman"/>
          <w:b/>
          <w:spacing w:val="2"/>
          <w:kern w:val="24"/>
          <w:sz w:val="24"/>
          <w:szCs w:val="24"/>
          <w:u w:val="single"/>
        </w:rPr>
        <w:t>La transparencia en la información de las condiciones de contratación bancaria</w:t>
      </w:r>
    </w:p>
    <w:p w:rsidR="001C5897" w:rsidRDefault="0022035E" w:rsidP="001C5897">
      <w:pPr>
        <w:spacing w:line="360" w:lineRule="auto"/>
        <w:ind w:firstLine="360"/>
        <w:jc w:val="both"/>
        <w:rPr>
          <w:rFonts w:ascii="Times New Roman" w:eastAsia="+mn-ea" w:hAnsi="Times New Roman"/>
          <w:spacing w:val="2"/>
          <w:kern w:val="24"/>
          <w:sz w:val="24"/>
          <w:szCs w:val="24"/>
        </w:rPr>
      </w:pPr>
      <w:r>
        <w:rPr>
          <w:rFonts w:ascii="Times New Roman" w:eastAsia="+mn-ea" w:hAnsi="Times New Roman"/>
          <w:spacing w:val="2"/>
          <w:kern w:val="24"/>
          <w:sz w:val="24"/>
          <w:szCs w:val="24"/>
        </w:rPr>
        <w:t>La Sección 1°</w:t>
      </w:r>
      <w:r w:rsidR="001C5897">
        <w:rPr>
          <w:rFonts w:ascii="Times New Roman" w:eastAsia="+mn-ea" w:hAnsi="Times New Roman"/>
          <w:spacing w:val="2"/>
          <w:kern w:val="24"/>
          <w:sz w:val="24"/>
          <w:szCs w:val="24"/>
        </w:rPr>
        <w:t>, Parágrafo 1° “Disposiciones generales”, introduce normas especiales, que contienen como principio jurídico a la transparencia en la información de las condiciones de contratación bancaria.</w:t>
      </w:r>
    </w:p>
    <w:p w:rsidR="001C5897" w:rsidRDefault="00F665E4" w:rsidP="00F665E4">
      <w:pPr>
        <w:spacing w:line="360" w:lineRule="auto"/>
        <w:ind w:firstLine="360"/>
        <w:jc w:val="both"/>
        <w:rPr>
          <w:rFonts w:ascii="Times New Roman" w:eastAsia="+mn-ea" w:hAnsi="Times New Roman"/>
          <w:spacing w:val="2"/>
          <w:kern w:val="24"/>
          <w:sz w:val="24"/>
          <w:szCs w:val="24"/>
        </w:rPr>
      </w:pPr>
      <w:r>
        <w:rPr>
          <w:rFonts w:ascii="Times New Roman" w:eastAsia="+mn-ea" w:hAnsi="Times New Roman"/>
          <w:spacing w:val="2"/>
          <w:kern w:val="24"/>
          <w:sz w:val="24"/>
          <w:szCs w:val="24"/>
        </w:rPr>
        <w:t>El CCYCN establece l</w:t>
      </w:r>
      <w:r w:rsidR="001C5897">
        <w:rPr>
          <w:rFonts w:ascii="Times New Roman" w:eastAsia="+mn-ea" w:hAnsi="Times New Roman"/>
          <w:spacing w:val="2"/>
          <w:kern w:val="24"/>
          <w:sz w:val="24"/>
          <w:szCs w:val="24"/>
        </w:rPr>
        <w:t>as obligaciones de in</w:t>
      </w:r>
      <w:r>
        <w:rPr>
          <w:rFonts w:ascii="Times New Roman" w:eastAsia="+mn-ea" w:hAnsi="Times New Roman"/>
          <w:spacing w:val="2"/>
          <w:kern w:val="24"/>
          <w:sz w:val="24"/>
          <w:szCs w:val="24"/>
        </w:rPr>
        <w:t xml:space="preserve">formación, estas </w:t>
      </w:r>
      <w:r w:rsidR="001C5897">
        <w:rPr>
          <w:rFonts w:ascii="Times New Roman" w:eastAsia="+mn-ea" w:hAnsi="Times New Roman"/>
          <w:spacing w:val="2"/>
          <w:kern w:val="24"/>
          <w:sz w:val="24"/>
          <w:szCs w:val="24"/>
        </w:rPr>
        <w:t>comprenden aspectos precontractuales, la publicidad y la propuesta;  así como también, la documentación y a la vigencia de la relación contractual.</w:t>
      </w:r>
      <w:r w:rsidR="0022035E" w:rsidRPr="0022035E">
        <w:t xml:space="preserve"> </w:t>
      </w:r>
      <w:r w:rsidR="0022035E" w:rsidRPr="0022035E">
        <w:rPr>
          <w:rFonts w:ascii="Times New Roman" w:eastAsia="+mn-ea" w:hAnsi="Times New Roman"/>
          <w:spacing w:val="2"/>
          <w:kern w:val="24"/>
          <w:sz w:val="24"/>
          <w:szCs w:val="24"/>
        </w:rPr>
        <w:t xml:space="preserve">Considerando que, la relación jurídica bancaria está </w:t>
      </w:r>
      <w:r w:rsidR="0022035E" w:rsidRPr="0022035E">
        <w:rPr>
          <w:rFonts w:ascii="Times New Roman" w:eastAsia="+mn-ea" w:hAnsi="Times New Roman"/>
          <w:spacing w:val="2"/>
          <w:kern w:val="24"/>
          <w:sz w:val="24"/>
          <w:szCs w:val="24"/>
        </w:rPr>
        <w:lastRenderedPageBreak/>
        <w:t xml:space="preserve">subscrita por la desigualdad de las partes. </w:t>
      </w:r>
      <w:r w:rsidR="0022035E">
        <w:rPr>
          <w:rFonts w:ascii="Times New Roman" w:eastAsia="+mn-ea" w:hAnsi="Times New Roman"/>
          <w:spacing w:val="2"/>
          <w:kern w:val="24"/>
          <w:sz w:val="24"/>
          <w:szCs w:val="24"/>
        </w:rPr>
        <w:t xml:space="preserve">Siendo los bancos </w:t>
      </w:r>
      <w:r w:rsidR="0022035E" w:rsidRPr="0022035E">
        <w:rPr>
          <w:rFonts w:ascii="Times New Roman" w:eastAsia="+mn-ea" w:hAnsi="Times New Roman"/>
          <w:spacing w:val="2"/>
          <w:kern w:val="24"/>
          <w:sz w:val="24"/>
          <w:szCs w:val="24"/>
        </w:rPr>
        <w:t>empresas profesionales que presentan  superioridad</w:t>
      </w:r>
      <w:r w:rsidR="0022035E">
        <w:rPr>
          <w:rFonts w:ascii="Times New Roman" w:eastAsia="+mn-ea" w:hAnsi="Times New Roman"/>
          <w:spacing w:val="2"/>
          <w:kern w:val="24"/>
          <w:sz w:val="24"/>
          <w:szCs w:val="24"/>
        </w:rPr>
        <w:t xml:space="preserve"> económica, jurídica y técnica, ante la persona cliente.</w:t>
      </w:r>
      <w:r w:rsidR="0022035E" w:rsidRPr="0022035E">
        <w:rPr>
          <w:rFonts w:ascii="Times New Roman" w:eastAsia="+mn-ea" w:hAnsi="Times New Roman"/>
          <w:spacing w:val="2"/>
          <w:kern w:val="24"/>
          <w:sz w:val="24"/>
          <w:szCs w:val="24"/>
        </w:rPr>
        <w:t xml:space="preserve"> </w:t>
      </w:r>
    </w:p>
    <w:p w:rsidR="001C5897" w:rsidRDefault="001C5897" w:rsidP="001C5897">
      <w:pPr>
        <w:spacing w:line="360" w:lineRule="auto"/>
        <w:ind w:firstLine="360"/>
        <w:jc w:val="both"/>
        <w:rPr>
          <w:rFonts w:ascii="Times New Roman" w:eastAsia="+mn-ea" w:hAnsi="Times New Roman"/>
          <w:spacing w:val="2"/>
          <w:kern w:val="24"/>
          <w:sz w:val="24"/>
          <w:szCs w:val="24"/>
        </w:rPr>
      </w:pPr>
      <w:r>
        <w:rPr>
          <w:rFonts w:ascii="Times New Roman" w:eastAsia="+mn-ea" w:hAnsi="Times New Roman"/>
          <w:spacing w:val="2"/>
          <w:kern w:val="24"/>
          <w:sz w:val="24"/>
          <w:szCs w:val="24"/>
        </w:rPr>
        <w:t xml:space="preserve">El </w:t>
      </w:r>
      <w:r>
        <w:rPr>
          <w:rFonts w:ascii="Times New Roman" w:eastAsia="+mn-ea" w:hAnsi="Times New Roman"/>
          <w:b/>
          <w:bCs/>
          <w:spacing w:val="2"/>
          <w:kern w:val="24"/>
          <w:sz w:val="24"/>
          <w:szCs w:val="24"/>
        </w:rPr>
        <w:t xml:space="preserve">art. 1379 </w:t>
      </w:r>
      <w:r>
        <w:rPr>
          <w:rFonts w:ascii="Times New Roman" w:eastAsia="+mn-ea" w:hAnsi="Times New Roman"/>
          <w:bCs/>
          <w:spacing w:val="2"/>
          <w:kern w:val="24"/>
          <w:sz w:val="24"/>
          <w:szCs w:val="24"/>
        </w:rPr>
        <w:t xml:space="preserve">enuncia que se </w:t>
      </w:r>
      <w:r>
        <w:rPr>
          <w:rFonts w:ascii="Times New Roman" w:eastAsia="+mn-ea" w:hAnsi="Times New Roman"/>
          <w:spacing w:val="2"/>
          <w:kern w:val="24"/>
          <w:sz w:val="24"/>
          <w:szCs w:val="24"/>
        </w:rPr>
        <w:t>debe indicar con precisión y en forma destacada si la operación corresponde a la cartera de consumo o a la cartera comercial, de acuerdo a la clasificación que realiza el BCRA. Esa calificación no prevalece sobre la que surge del contrato, ni de la decisión judi</w:t>
      </w:r>
      <w:r w:rsidR="00954D17">
        <w:rPr>
          <w:rFonts w:ascii="Times New Roman" w:eastAsia="+mn-ea" w:hAnsi="Times New Roman"/>
          <w:spacing w:val="2"/>
          <w:kern w:val="24"/>
          <w:sz w:val="24"/>
          <w:szCs w:val="24"/>
        </w:rPr>
        <w:t>cial</w:t>
      </w:r>
      <w:r>
        <w:rPr>
          <w:rFonts w:ascii="Times New Roman" w:eastAsia="+mn-ea" w:hAnsi="Times New Roman"/>
          <w:spacing w:val="2"/>
          <w:kern w:val="24"/>
          <w:sz w:val="24"/>
          <w:szCs w:val="24"/>
        </w:rPr>
        <w:t xml:space="preserve">. </w:t>
      </w:r>
    </w:p>
    <w:p w:rsidR="001C5897" w:rsidRDefault="001C5897" w:rsidP="00BC26E5">
      <w:pPr>
        <w:spacing w:line="360" w:lineRule="auto"/>
        <w:ind w:firstLine="360"/>
        <w:jc w:val="both"/>
        <w:rPr>
          <w:rFonts w:ascii="Times New Roman" w:eastAsia="+mn-ea" w:hAnsi="Times New Roman"/>
          <w:spacing w:val="2"/>
          <w:kern w:val="24"/>
          <w:sz w:val="24"/>
          <w:szCs w:val="24"/>
        </w:rPr>
      </w:pPr>
      <w:r>
        <w:rPr>
          <w:rFonts w:ascii="Times New Roman" w:eastAsia="+mn-ea" w:hAnsi="Times New Roman"/>
          <w:spacing w:val="2"/>
          <w:kern w:val="24"/>
          <w:sz w:val="24"/>
          <w:szCs w:val="24"/>
        </w:rPr>
        <w:t>Para determinar cuáles son los criterios de esta clasificación, el Código remite a las discreciones que a</w:t>
      </w:r>
      <w:r w:rsidR="00BC26E5">
        <w:rPr>
          <w:rFonts w:ascii="Times New Roman" w:eastAsia="+mn-ea" w:hAnsi="Times New Roman"/>
          <w:spacing w:val="2"/>
          <w:kern w:val="24"/>
          <w:sz w:val="24"/>
          <w:szCs w:val="24"/>
        </w:rPr>
        <w:t>dopta el BCRA. Este e</w:t>
      </w:r>
      <w:r>
        <w:rPr>
          <w:rFonts w:ascii="Times New Roman" w:eastAsia="+mn-ea" w:hAnsi="Times New Roman"/>
          <w:spacing w:val="2"/>
          <w:kern w:val="24"/>
          <w:sz w:val="24"/>
          <w:szCs w:val="24"/>
        </w:rPr>
        <w:t xml:space="preserve">stablece que la cartera comercial abarca a todas las financiaciones, (con excepción de los créditos para consumo o vivienda inferiores a un determinado </w:t>
      </w:r>
      <w:proofErr w:type="spellStart"/>
      <w:r>
        <w:rPr>
          <w:rFonts w:ascii="Times New Roman" w:eastAsia="+mn-ea" w:hAnsi="Times New Roman"/>
          <w:spacing w:val="2"/>
          <w:kern w:val="24"/>
          <w:sz w:val="24"/>
          <w:szCs w:val="24"/>
        </w:rPr>
        <w:t>porcenta</w:t>
      </w:r>
      <w:proofErr w:type="spellEnd"/>
      <w:r>
        <w:rPr>
          <w:rFonts w:ascii="Times New Roman" w:eastAsia="+mn-ea" w:hAnsi="Times New Roman"/>
          <w:spacing w:val="2"/>
          <w:kern w:val="24"/>
          <w:sz w:val="24"/>
          <w:szCs w:val="24"/>
        </w:rPr>
        <w:t xml:space="preserve">), y cuyo repago no se encuentre vinculado a ingresos fijos o periódicos del cliente sino a la evolución de su actividad productiva o comercial.  </w:t>
      </w:r>
      <w:r w:rsidR="00BC26E5">
        <w:rPr>
          <w:rFonts w:ascii="Times New Roman" w:eastAsia="+mn-ea" w:hAnsi="Times New Roman"/>
          <w:spacing w:val="2"/>
          <w:kern w:val="24"/>
          <w:sz w:val="24"/>
          <w:szCs w:val="24"/>
        </w:rPr>
        <w:t>Por otro lado, e</w:t>
      </w:r>
      <w:r>
        <w:rPr>
          <w:rFonts w:ascii="Times New Roman" w:eastAsia="+mn-ea" w:hAnsi="Times New Roman"/>
          <w:spacing w:val="2"/>
          <w:kern w:val="24"/>
          <w:sz w:val="24"/>
          <w:szCs w:val="24"/>
        </w:rPr>
        <w:t xml:space="preserve">n la </w:t>
      </w:r>
      <w:r w:rsidR="00BC26E5">
        <w:rPr>
          <w:rFonts w:ascii="Times New Roman" w:eastAsia="+mn-ea" w:hAnsi="Times New Roman"/>
          <w:spacing w:val="2"/>
          <w:kern w:val="24"/>
          <w:sz w:val="24"/>
          <w:szCs w:val="24"/>
        </w:rPr>
        <w:t xml:space="preserve">cartera para consumo </w:t>
      </w:r>
      <w:r>
        <w:rPr>
          <w:rFonts w:ascii="Times New Roman" w:eastAsia="+mn-ea" w:hAnsi="Times New Roman"/>
          <w:spacing w:val="2"/>
          <w:kern w:val="24"/>
          <w:sz w:val="24"/>
          <w:szCs w:val="24"/>
        </w:rPr>
        <w:t xml:space="preserve">se incluyen créditos para </w:t>
      </w:r>
      <w:r w:rsidR="00954D17">
        <w:rPr>
          <w:rFonts w:ascii="Times New Roman" w:eastAsia="+mn-ea" w:hAnsi="Times New Roman"/>
          <w:spacing w:val="2"/>
          <w:kern w:val="24"/>
          <w:sz w:val="24"/>
          <w:szCs w:val="24"/>
        </w:rPr>
        <w:t>consumos (personales y familiares</w:t>
      </w:r>
      <w:r>
        <w:rPr>
          <w:rFonts w:ascii="Times New Roman" w:eastAsia="+mn-ea" w:hAnsi="Times New Roman"/>
          <w:spacing w:val="2"/>
          <w:kern w:val="24"/>
          <w:sz w:val="24"/>
          <w:szCs w:val="24"/>
        </w:rPr>
        <w:t xml:space="preserve">, para profesionales, para la adquisición de bienes de consumo, financiación de tarjetas de crédito), créditos para vivienda propia (compra, construcción o refacción) hasta el límite indicado, </w:t>
      </w:r>
      <w:r w:rsidR="00BC26E5">
        <w:rPr>
          <w:rFonts w:ascii="Times New Roman" w:eastAsia="+mn-ea" w:hAnsi="Times New Roman"/>
          <w:spacing w:val="2"/>
          <w:kern w:val="24"/>
          <w:sz w:val="24"/>
          <w:szCs w:val="24"/>
        </w:rPr>
        <w:t xml:space="preserve">entre otros. </w:t>
      </w:r>
    </w:p>
    <w:p w:rsidR="001C5897" w:rsidRDefault="001C5897" w:rsidP="001C5897">
      <w:pPr>
        <w:spacing w:line="360" w:lineRule="auto"/>
        <w:ind w:firstLine="360"/>
        <w:jc w:val="both"/>
        <w:rPr>
          <w:rFonts w:ascii="Times New Roman" w:eastAsia="+mn-ea" w:hAnsi="Times New Roman"/>
          <w:spacing w:val="2"/>
          <w:kern w:val="24"/>
          <w:sz w:val="24"/>
          <w:szCs w:val="24"/>
        </w:rPr>
      </w:pPr>
      <w:r>
        <w:rPr>
          <w:rFonts w:ascii="Times New Roman" w:eastAsia="+mn-ea" w:hAnsi="Times New Roman"/>
          <w:spacing w:val="2"/>
          <w:kern w:val="24"/>
          <w:sz w:val="24"/>
          <w:szCs w:val="24"/>
        </w:rPr>
        <w:t>Sin embargo, como se menciona anteriormente, el mismo art. 1379 del CCYCN, indica que esa calificación no prevalece sobre la que surge del contrato, ni de la decisión judicial.</w:t>
      </w:r>
    </w:p>
    <w:p w:rsidR="001C5897" w:rsidRDefault="001C5897" w:rsidP="001C5897">
      <w:pPr>
        <w:spacing w:line="360" w:lineRule="auto"/>
        <w:ind w:firstLine="360"/>
        <w:jc w:val="both"/>
        <w:rPr>
          <w:rFonts w:ascii="Times New Roman" w:eastAsia="+mn-ea" w:hAnsi="Times New Roman"/>
          <w:spacing w:val="2"/>
          <w:kern w:val="24"/>
          <w:sz w:val="24"/>
          <w:szCs w:val="24"/>
        </w:rPr>
      </w:pPr>
      <w:r>
        <w:rPr>
          <w:rFonts w:ascii="Times New Roman" w:eastAsia="+mn-ea" w:hAnsi="Times New Roman"/>
          <w:bCs/>
          <w:spacing w:val="2"/>
          <w:kern w:val="24"/>
          <w:sz w:val="24"/>
          <w:szCs w:val="24"/>
        </w:rPr>
        <w:t>En cuanto a la forma en el</w:t>
      </w:r>
      <w:r>
        <w:rPr>
          <w:rFonts w:ascii="Times New Roman" w:eastAsia="+mn-ea" w:hAnsi="Times New Roman"/>
          <w:b/>
          <w:bCs/>
          <w:spacing w:val="2"/>
          <w:kern w:val="24"/>
          <w:sz w:val="24"/>
          <w:szCs w:val="24"/>
        </w:rPr>
        <w:t xml:space="preserve"> Art. 1380 </w:t>
      </w:r>
      <w:r>
        <w:rPr>
          <w:rFonts w:ascii="Times New Roman" w:eastAsia="+mn-ea" w:hAnsi="Times New Roman"/>
          <w:bCs/>
          <w:spacing w:val="2"/>
          <w:kern w:val="24"/>
          <w:sz w:val="24"/>
          <w:szCs w:val="24"/>
        </w:rPr>
        <w:t xml:space="preserve">enuncia que </w:t>
      </w:r>
      <w:r>
        <w:rPr>
          <w:rFonts w:ascii="Times New Roman" w:eastAsia="+mn-ea" w:hAnsi="Times New Roman"/>
          <w:b/>
          <w:bCs/>
          <w:spacing w:val="2"/>
          <w:kern w:val="24"/>
          <w:sz w:val="24"/>
          <w:szCs w:val="24"/>
        </w:rPr>
        <w:t xml:space="preserve"> </w:t>
      </w:r>
      <w:r>
        <w:rPr>
          <w:rFonts w:ascii="Times New Roman" w:eastAsia="+mn-ea" w:hAnsi="Times New Roman"/>
          <w:spacing w:val="2"/>
          <w:kern w:val="24"/>
          <w:sz w:val="24"/>
          <w:szCs w:val="24"/>
        </w:rPr>
        <w:t xml:space="preserve">debe instrumentarse por escrito, conforme a los medios regulados por este Código, teniendo el cliente derecho a que se le entregue un ejemplar. </w:t>
      </w:r>
    </w:p>
    <w:p w:rsidR="001C5897" w:rsidRDefault="001C5897" w:rsidP="001C5897">
      <w:pPr>
        <w:spacing w:line="360" w:lineRule="auto"/>
        <w:ind w:firstLine="360"/>
        <w:jc w:val="both"/>
        <w:rPr>
          <w:rFonts w:ascii="Times New Roman" w:eastAsia="+mn-ea" w:hAnsi="Times New Roman"/>
          <w:bCs/>
          <w:spacing w:val="2"/>
          <w:kern w:val="24"/>
          <w:sz w:val="24"/>
          <w:szCs w:val="24"/>
        </w:rPr>
      </w:pPr>
      <w:r>
        <w:rPr>
          <w:rFonts w:ascii="Times New Roman" w:hAnsi="Times New Roman"/>
          <w:sz w:val="24"/>
          <w:szCs w:val="24"/>
        </w:rPr>
        <w:t xml:space="preserve">Mientras tanto, el </w:t>
      </w:r>
      <w:r>
        <w:rPr>
          <w:rFonts w:ascii="Times New Roman" w:eastAsia="+mn-ea" w:hAnsi="Times New Roman"/>
          <w:b/>
          <w:bCs/>
          <w:spacing w:val="2"/>
          <w:kern w:val="24"/>
          <w:sz w:val="24"/>
          <w:szCs w:val="24"/>
        </w:rPr>
        <w:t xml:space="preserve">art. 1382 </w:t>
      </w:r>
      <w:r>
        <w:rPr>
          <w:rFonts w:ascii="Times New Roman" w:eastAsia="+mn-ea" w:hAnsi="Times New Roman"/>
          <w:bCs/>
          <w:spacing w:val="2"/>
          <w:kern w:val="24"/>
          <w:sz w:val="24"/>
          <w:szCs w:val="24"/>
        </w:rPr>
        <w:t>refiere a  la Información periódica, lo que implica facilitar la posibilitad al acceso del conocimiento durante la vigencia del contrato.  Esta información constante, se va a materializar en la práctica con él envió de</w:t>
      </w:r>
      <w:r>
        <w:rPr>
          <w:rFonts w:ascii="Times New Roman" w:eastAsia="+mn-ea" w:hAnsi="Times New Roman"/>
          <w:b/>
          <w:bCs/>
          <w:spacing w:val="2"/>
          <w:kern w:val="24"/>
          <w:sz w:val="24"/>
          <w:szCs w:val="24"/>
        </w:rPr>
        <w:t xml:space="preserve"> </w:t>
      </w:r>
      <w:r>
        <w:rPr>
          <w:rFonts w:ascii="Times New Roman" w:eastAsia="+mn-ea" w:hAnsi="Times New Roman"/>
          <w:bCs/>
          <w:spacing w:val="2"/>
          <w:kern w:val="24"/>
          <w:sz w:val="24"/>
          <w:szCs w:val="24"/>
        </w:rPr>
        <w:t>resúmenes.</w:t>
      </w:r>
    </w:p>
    <w:p w:rsidR="001C5897" w:rsidRDefault="001C5897" w:rsidP="001C5897">
      <w:pPr>
        <w:spacing w:line="360" w:lineRule="auto"/>
        <w:ind w:firstLine="360"/>
        <w:jc w:val="both"/>
        <w:rPr>
          <w:rFonts w:ascii="Times New Roman" w:eastAsia="+mn-ea" w:hAnsi="Times New Roman"/>
          <w:spacing w:val="2"/>
          <w:kern w:val="24"/>
          <w:sz w:val="24"/>
          <w:szCs w:val="24"/>
        </w:rPr>
      </w:pPr>
      <w:r>
        <w:rPr>
          <w:rFonts w:ascii="Times New Roman" w:eastAsia="+mn-ea" w:hAnsi="Times New Roman"/>
          <w:spacing w:val="2"/>
          <w:kern w:val="24"/>
          <w:sz w:val="24"/>
          <w:szCs w:val="24"/>
        </w:rPr>
        <w:t xml:space="preserve">El banco debe comunicar en forma clara, escrita o por medios electrónicos previamente aceptados por el cliente, al menos una vez al año, el desenvolvimiento de las operaciones correspondientes a contratos de plazo indeterminado o de plazo mayor a un año. Transcurridos sesenta días contados a partir de la recepción de la comunicación, la </w:t>
      </w:r>
      <w:r>
        <w:rPr>
          <w:rFonts w:ascii="Times New Roman" w:eastAsia="+mn-ea" w:hAnsi="Times New Roman"/>
          <w:spacing w:val="2"/>
          <w:kern w:val="24"/>
          <w:sz w:val="24"/>
          <w:szCs w:val="24"/>
        </w:rPr>
        <w:lastRenderedPageBreak/>
        <w:t xml:space="preserve">falta de oposición escrita por parte del cliente se entiende como aceptación de las operaciones informadas, sin perjuicio de las acciones previstas en los contratos de consumo. Igual regla se aplica a la finalización de todo contrato que prevea plazos para el cumplimiento. </w:t>
      </w:r>
    </w:p>
    <w:p w:rsidR="001C5897" w:rsidRDefault="001C5897" w:rsidP="0022035E">
      <w:pPr>
        <w:spacing w:line="360" w:lineRule="auto"/>
        <w:ind w:firstLine="360"/>
        <w:jc w:val="both"/>
        <w:rPr>
          <w:rFonts w:ascii="Times New Roman" w:eastAsia="+mn-ea" w:hAnsi="Times New Roman"/>
          <w:bCs/>
          <w:spacing w:val="2"/>
          <w:kern w:val="24"/>
          <w:sz w:val="24"/>
          <w:szCs w:val="24"/>
        </w:rPr>
      </w:pPr>
      <w:r>
        <w:rPr>
          <w:rFonts w:ascii="Times New Roman" w:eastAsia="+mn-ea" w:hAnsi="Times New Roman"/>
          <w:bCs/>
          <w:spacing w:val="2"/>
          <w:kern w:val="24"/>
          <w:sz w:val="24"/>
          <w:szCs w:val="24"/>
        </w:rPr>
        <w:t xml:space="preserve">La frecuencia anual de los mismos, que establece este art. 1382, es un parámetro mínimo y general, por lo que aplica para los casos en que no haya nada previsto por normas especiales o reglamentarias. Debiendo analizar en cada contrato en particular si hay algún plazo específico para el envío de los resúmenes </w:t>
      </w:r>
    </w:p>
    <w:p w:rsidR="001C5897" w:rsidRDefault="001C5897" w:rsidP="001C5897">
      <w:pPr>
        <w:spacing w:line="360" w:lineRule="auto"/>
        <w:jc w:val="both"/>
        <w:rPr>
          <w:rFonts w:ascii="Times New Roman" w:eastAsia="+mn-ea" w:hAnsi="Times New Roman"/>
          <w:b/>
          <w:bCs/>
          <w:spacing w:val="2"/>
          <w:kern w:val="24"/>
          <w:sz w:val="24"/>
          <w:szCs w:val="24"/>
          <w:u w:val="single"/>
        </w:rPr>
      </w:pPr>
      <w:r>
        <w:rPr>
          <w:rFonts w:ascii="Times New Roman" w:eastAsia="+mn-ea" w:hAnsi="Times New Roman"/>
          <w:b/>
          <w:bCs/>
          <w:spacing w:val="2"/>
          <w:kern w:val="24"/>
          <w:sz w:val="24"/>
          <w:szCs w:val="24"/>
          <w:u w:val="single"/>
        </w:rPr>
        <w:t xml:space="preserve">Tasa de interés </w:t>
      </w:r>
    </w:p>
    <w:p w:rsidR="001C5897" w:rsidRDefault="001C5897" w:rsidP="001C5897">
      <w:pPr>
        <w:spacing w:line="360" w:lineRule="auto"/>
        <w:ind w:firstLine="360"/>
        <w:jc w:val="both"/>
        <w:rPr>
          <w:rFonts w:ascii="Times New Roman" w:eastAsia="+mn-ea" w:hAnsi="Times New Roman"/>
          <w:bCs/>
          <w:spacing w:val="2"/>
          <w:kern w:val="24"/>
          <w:sz w:val="24"/>
          <w:szCs w:val="24"/>
        </w:rPr>
      </w:pPr>
      <w:r>
        <w:rPr>
          <w:rFonts w:ascii="Times New Roman" w:eastAsia="+mn-ea" w:hAnsi="Times New Roman"/>
          <w:bCs/>
          <w:spacing w:val="2"/>
          <w:kern w:val="24"/>
          <w:sz w:val="24"/>
          <w:szCs w:val="24"/>
        </w:rPr>
        <w:t xml:space="preserve">En concordancia a  la transparencia en la información de las condiciones de contratación bancaria, el CCYCN le dedica especial atención a la cuestión de la tasa de interés. </w:t>
      </w:r>
    </w:p>
    <w:p w:rsidR="001C5897" w:rsidRDefault="001C5897" w:rsidP="001C5897">
      <w:pPr>
        <w:spacing w:line="360" w:lineRule="auto"/>
        <w:ind w:firstLine="360"/>
        <w:jc w:val="both"/>
        <w:rPr>
          <w:rFonts w:ascii="Times New Roman" w:eastAsia="+mn-ea" w:hAnsi="Times New Roman"/>
          <w:bCs/>
          <w:spacing w:val="2"/>
          <w:kern w:val="24"/>
          <w:sz w:val="24"/>
          <w:szCs w:val="24"/>
        </w:rPr>
      </w:pPr>
      <w:r>
        <w:rPr>
          <w:rFonts w:ascii="Times New Roman" w:eastAsia="+mn-ea" w:hAnsi="Times New Roman"/>
          <w:bCs/>
          <w:spacing w:val="2"/>
          <w:kern w:val="24"/>
          <w:sz w:val="24"/>
          <w:szCs w:val="24"/>
        </w:rPr>
        <w:t xml:space="preserve">El </w:t>
      </w:r>
      <w:r>
        <w:rPr>
          <w:rFonts w:ascii="Times New Roman" w:eastAsia="+mn-ea" w:hAnsi="Times New Roman"/>
          <w:b/>
          <w:bCs/>
          <w:spacing w:val="2"/>
          <w:kern w:val="24"/>
          <w:sz w:val="24"/>
          <w:szCs w:val="24"/>
        </w:rPr>
        <w:t>art. 1381</w:t>
      </w:r>
      <w:r w:rsidR="00F45C9A">
        <w:rPr>
          <w:rFonts w:ascii="Times New Roman" w:eastAsia="+mn-ea" w:hAnsi="Times New Roman"/>
          <w:bCs/>
          <w:spacing w:val="2"/>
          <w:kern w:val="24"/>
          <w:sz w:val="24"/>
          <w:szCs w:val="24"/>
        </w:rPr>
        <w:t xml:space="preserve">, </w:t>
      </w:r>
      <w:r>
        <w:rPr>
          <w:rFonts w:ascii="Times New Roman" w:eastAsia="+mn-ea" w:hAnsi="Times New Roman"/>
          <w:bCs/>
          <w:spacing w:val="2"/>
          <w:kern w:val="24"/>
          <w:sz w:val="24"/>
          <w:szCs w:val="24"/>
        </w:rPr>
        <w:t>detalla que se  debe especificar la tasa de interés y cualquier precio, gasto, comisión y otras condiciones económicas a cargo del cliente. Si no determina la tasa de interés, es aplicable la nominal mínima y máxima, respectivamente, para las operaciones activas y pasivas promedio del sistema, publicadas por el BCRA a la fecha del desembolso o de la imposición. Las cláusulas de remisión a los usos para la determinación de las tasas de interés y de otros precios y condiciones contractuales se tienen por no escritas.</w:t>
      </w:r>
    </w:p>
    <w:p w:rsidR="001C5897" w:rsidRDefault="001C5897" w:rsidP="001C5897">
      <w:pPr>
        <w:spacing w:line="360" w:lineRule="auto"/>
        <w:ind w:firstLine="360"/>
        <w:jc w:val="both"/>
        <w:rPr>
          <w:rFonts w:ascii="Times New Roman" w:hAnsi="Times New Roman"/>
          <w:sz w:val="24"/>
          <w:szCs w:val="24"/>
        </w:rPr>
      </w:pPr>
      <w:r>
        <w:rPr>
          <w:rFonts w:ascii="Times New Roman" w:hAnsi="Times New Roman"/>
          <w:sz w:val="24"/>
          <w:szCs w:val="24"/>
        </w:rPr>
        <w:t>De la interpretación de estas disposiciones incorporadas, se desglosa que la información es considerada de trascendental importancia para que el contrato sea válido, ya que su falta, insuficiencia o ambigüedad implica que el cliente no podrá expresar una voluntad genuina y demostrativa de la intención de celebrar el contrato porque no habrá comprensión completa del alcance de las condiciones y términos del mismo.</w:t>
      </w:r>
    </w:p>
    <w:p w:rsidR="005132E6" w:rsidRPr="00954D17" w:rsidRDefault="001C5897" w:rsidP="00954D17">
      <w:pPr>
        <w:spacing w:line="360" w:lineRule="auto"/>
        <w:ind w:firstLine="360"/>
        <w:jc w:val="both"/>
        <w:rPr>
          <w:rFonts w:ascii="Times New Roman" w:hAnsi="Times New Roman"/>
          <w:sz w:val="24"/>
          <w:szCs w:val="24"/>
        </w:rPr>
      </w:pPr>
      <w:r>
        <w:rPr>
          <w:rFonts w:ascii="Times New Roman" w:hAnsi="Times New Roman"/>
          <w:sz w:val="24"/>
          <w:szCs w:val="24"/>
        </w:rPr>
        <w:t xml:space="preserve">El último artículo de este 1° parágrafo concerniente a la transparencia, enuncia de forma clara que el acto de  rescisión es gratuito.  Para evitar que el cliente sea condicionado económicamente en su voluntad de finalizar un contrato bancario cuya vigencia es de plazo indeterminado, el </w:t>
      </w:r>
      <w:r>
        <w:rPr>
          <w:rFonts w:ascii="Times New Roman" w:hAnsi="Times New Roman"/>
          <w:b/>
          <w:sz w:val="24"/>
          <w:szCs w:val="24"/>
        </w:rPr>
        <w:t>art. 1383</w:t>
      </w:r>
      <w:r>
        <w:rPr>
          <w:rFonts w:ascii="Times New Roman" w:hAnsi="Times New Roman"/>
          <w:sz w:val="24"/>
          <w:szCs w:val="24"/>
        </w:rPr>
        <w:t xml:space="preserve"> ofrece el derecho a rescindir el</w:t>
      </w:r>
      <w:r w:rsidR="00954D17">
        <w:rPr>
          <w:rFonts w:ascii="Times New Roman" w:hAnsi="Times New Roman"/>
          <w:sz w:val="24"/>
          <w:szCs w:val="24"/>
        </w:rPr>
        <w:t xml:space="preserve"> contrato en cualquier momento.</w:t>
      </w:r>
      <w:bookmarkStart w:id="0" w:name="_GoBack"/>
      <w:bookmarkEnd w:id="0"/>
    </w:p>
    <w:sectPr w:rsidR="005132E6" w:rsidRPr="00954D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97"/>
    <w:rsid w:val="001C5897"/>
    <w:rsid w:val="0022035E"/>
    <w:rsid w:val="004C1C81"/>
    <w:rsid w:val="005132E6"/>
    <w:rsid w:val="00753191"/>
    <w:rsid w:val="00954D17"/>
    <w:rsid w:val="00BC26E5"/>
    <w:rsid w:val="00F45C9A"/>
    <w:rsid w:val="00F665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89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C5897"/>
    <w:rPr>
      <w:color w:val="0000FF" w:themeColor="hyperlink"/>
      <w:u w:val="single"/>
    </w:rPr>
  </w:style>
  <w:style w:type="paragraph" w:styleId="NormalWeb">
    <w:name w:val="Normal (Web)"/>
    <w:basedOn w:val="Normal"/>
    <w:uiPriority w:val="99"/>
    <w:semiHidden/>
    <w:unhideWhenUsed/>
    <w:rsid w:val="001C5897"/>
    <w:pPr>
      <w:spacing w:before="100" w:beforeAutospacing="1" w:after="100" w:afterAutospacing="1" w:line="240" w:lineRule="auto"/>
    </w:pPr>
    <w:rPr>
      <w:rFonts w:ascii="Times New Roman" w:eastAsia="Times New Roman" w:hAnsi="Times New Roman"/>
      <w:sz w:val="24"/>
      <w:szCs w:val="24"/>
      <w:lang w:eastAsia="es-AR"/>
    </w:rPr>
  </w:style>
  <w:style w:type="paragraph" w:styleId="Prrafodelista">
    <w:name w:val="List Paragraph"/>
    <w:basedOn w:val="Normal"/>
    <w:uiPriority w:val="34"/>
    <w:qFormat/>
    <w:rsid w:val="001C5897"/>
    <w:pPr>
      <w:spacing w:after="0" w:line="240" w:lineRule="auto"/>
      <w:ind w:left="720"/>
      <w:contextualSpacing/>
    </w:pPr>
    <w:rPr>
      <w:rFonts w:ascii="Times New Roman" w:eastAsia="Times New Roman" w:hAnsi="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89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C5897"/>
    <w:rPr>
      <w:color w:val="0000FF" w:themeColor="hyperlink"/>
      <w:u w:val="single"/>
    </w:rPr>
  </w:style>
  <w:style w:type="paragraph" w:styleId="NormalWeb">
    <w:name w:val="Normal (Web)"/>
    <w:basedOn w:val="Normal"/>
    <w:uiPriority w:val="99"/>
    <w:semiHidden/>
    <w:unhideWhenUsed/>
    <w:rsid w:val="001C5897"/>
    <w:pPr>
      <w:spacing w:before="100" w:beforeAutospacing="1" w:after="100" w:afterAutospacing="1" w:line="240" w:lineRule="auto"/>
    </w:pPr>
    <w:rPr>
      <w:rFonts w:ascii="Times New Roman" w:eastAsia="Times New Roman" w:hAnsi="Times New Roman"/>
      <w:sz w:val="24"/>
      <w:szCs w:val="24"/>
      <w:lang w:eastAsia="es-AR"/>
    </w:rPr>
  </w:style>
  <w:style w:type="paragraph" w:styleId="Prrafodelista">
    <w:name w:val="List Paragraph"/>
    <w:basedOn w:val="Normal"/>
    <w:uiPriority w:val="34"/>
    <w:qFormat/>
    <w:rsid w:val="001C5897"/>
    <w:pPr>
      <w:spacing w:after="0" w:line="240" w:lineRule="auto"/>
      <w:ind w:left="720"/>
      <w:contextualSpacing/>
    </w:pPr>
    <w:rPr>
      <w:rFonts w:ascii="Times New Roman" w:eastAsia="Times New Roman" w:hAnsi="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63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962</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dcterms:created xsi:type="dcterms:W3CDTF">2022-04-26T16:52:00Z</dcterms:created>
  <dcterms:modified xsi:type="dcterms:W3CDTF">2022-04-26T17:30:00Z</dcterms:modified>
</cp:coreProperties>
</file>