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rFonts w:ascii="Arial" w:cs="Arial" w:eastAsia="Arial" w:hAnsi="Arial"/>
          <w:b/>
          <w:bCs/>
          <w:color w:val="14213D"/>
          <w:sz w:val="64"/>
          <w:szCs w:val="64"/>
        </w:rPr>
        <w:t xml:space="preserve">VERIGUARD</w:t>
      </w:r>
    </w:p>
    <w:p>
      <w:pPr>
        <w:spacing w:after="40"/>
        <w:jc w:val="center"/>
      </w:pPr>
      <w:r>
        <w:rPr>
          <w:rFonts w:ascii="Arial" w:cs="Arial" w:eastAsia="Arial" w:hAnsi="Arial"/>
          <w:b/>
          <w:bCs/>
          <w:color w:val="0E7C86"/>
          <w:sz w:val="28"/>
          <w:szCs w:val="28"/>
        </w:rPr>
        <w:t xml:space="preserve">Architecture &amp; Product Requirements Document</w:t>
      </w:r>
    </w:p>
    <w:p>
      <w:pPr>
        <w:spacing w:after="600"/>
        <w:jc w:val="center"/>
      </w:pPr>
      <w:r>
        <w:rPr>
          <w:rFonts w:ascii="Arial" w:cs="Arial" w:eastAsia="Arial" w:hAnsi="Arial"/>
          <w:color w:val="64748B"/>
          <w:sz w:val="22"/>
          <w:szCs w:val="22"/>
        </w:rPr>
        <w:t xml:space="preserve">Continuous AppSec &amp; Compliance — Orchestrated on AWS</w:t>
      </w:r>
    </w:p>
    <w:p>
      <w:pPr>
        <w:spacing w:after="60"/>
        <w:jc w:val="center"/>
      </w:pPr>
      <w:r>
        <w:rPr>
          <w:rFonts w:ascii="Arial" w:cs="Arial" w:eastAsia="Arial" w:hAnsi="Arial"/>
          <w:color w:val="1F2937"/>
          <w:sz w:val="20"/>
          <w:szCs w:val="20"/>
        </w:rPr>
        <w:t xml:space="preserve">A unified platform combining MSSP multi-tenant security orchestration</w:t>
      </w:r>
    </w:p>
    <w:p>
      <w:pPr>
        <w:spacing w:after="600"/>
        <w:jc w:val="center"/>
      </w:pPr>
      <w:r>
        <w:rPr>
          <w:rFonts w:ascii="Arial" w:cs="Arial" w:eastAsia="Arial" w:hAnsi="Arial"/>
          <w:color w:val="1F2937"/>
          <w:sz w:val="20"/>
          <w:szCs w:val="20"/>
        </w:rPr>
        <w:t xml:space="preserve">with automated compliance evidence generation, built on AWS Security Agent and AWS Continuum</w:t>
      </w:r>
    </w:p>
    <w:p>
      <w:pPr>
        <w:spacing w:after="40" w:before="1600"/>
        <w:jc w:val="center"/>
      </w:pPr>
      <w:r>
        <w:rPr>
          <w:rFonts w:ascii="Arial" w:cs="Arial" w:eastAsia="Arial" w:hAnsi="Arial"/>
          <w:color w:val="64748B"/>
          <w:sz w:val="19"/>
          <w:szCs w:val="19"/>
        </w:rPr>
        <w:t xml:space="preserve">Prepared by Govind  ·  elngovind@gmail.com</w:t>
      </w:r>
    </w:p>
    <w:p>
      <w:pPr>
        <w:spacing w:after="0"/>
        <w:jc w:val="center"/>
      </w:pPr>
      <w:r>
        <w:rPr>
          <w:rFonts w:ascii="Arial" w:cs="Arial" w:eastAsia="Arial" w:hAnsi="Arial"/>
          <w:color w:val="64748B"/>
          <w:sz w:val="19"/>
          <w:szCs w:val="19"/>
        </w:rPr>
        <w:t xml:space="preserve">June 30, 2026  ·  Version 1.0</w:t>
      </w:r>
    </w:p>
    <w:p>
      <w:r>
        <w:br w:type="page"/>
      </w:r>
    </w:p>
    <w:p>
      <w:pPr>
        <w:pStyle w:val="Heading1"/>
        <w:spacing w:after="200" w:before="420"/>
      </w:pPr>
      <w:r>
        <w:rPr>
          <w:rFonts w:ascii="Arial" w:cs="Arial" w:eastAsia="Arial" w:hAnsi="Arial"/>
          <w:b/>
          <w:bCs/>
          <w:color w:val="14213D"/>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20"/>
      </w:pPr>
      <w:r>
        <w:rPr>
          <w:rFonts w:ascii="Arial" w:cs="Arial" w:eastAsia="Arial" w:hAnsi="Arial"/>
          <w:b/>
          <w:bCs/>
          <w:color w:val="14213D"/>
          <w:sz w:val="36"/>
          <w:szCs w:val="36"/>
        </w:rPr>
        <w:t xml:space="preserve">1. Executive Summary</w:t>
      </w:r>
    </w:p>
    <w:p>
      <w:pPr>
        <w:spacing w:after="160" w:before="0" w:line="300"/>
      </w:pPr>
      <w:r>
        <w:rPr>
          <w:rFonts w:ascii="Arial" w:cs="Arial" w:eastAsia="Arial" w:hAnsi="Arial"/>
          <w:color w:val="1F2937"/>
          <w:sz w:val="22"/>
          <w:szCs w:val="22"/>
        </w:rPr>
        <w:t xml:space="preserve">Veriguard is a unified, AWS-native platform that turns AWS Security Agent and AWS Continuum into a managed, multi-tenant, audit-ready service. It has two modules sharing one core: the MSSP Console, which lets managed security service providers (MSSPs) and systems integrators run penetration tests and AI-driven remediation across many client AWS Organizations from one pane of glass; and Comply, which automatically maps every finding and remediation action to SOC 2, PCI-DSS, HIPAA, or FedRAMP controls and packages the result into immutable, auditor-ready evidence.</w:t>
      </w:r>
    </w:p>
    <w:p>
      <w:pPr>
        <w:spacing w:after="160" w:before="0" w:line="300"/>
      </w:pPr>
      <w:r>
        <w:rPr>
          <w:rFonts w:ascii="Arial" w:cs="Arial" w:eastAsia="Arial" w:hAnsi="Arial"/>
          <w:color w:val="1F2937"/>
          <w:sz w:val="22"/>
          <w:szCs w:val="22"/>
        </w:rPr>
        <w:t xml:space="preserve">The two ideas are deliberately fused rather than shipped as separate products. Every finding Veriguard ingests is simultaneously an MSSP billing event and a compliance control update — building one ingestion, normalization, and governance layer once and exposing it through two buyer-specific experiences is materially cheaper to build and easier to sell than maintaining two platforms.</w:t>
      </w:r>
    </w:p>
    <w:p>
      <w:pPr>
        <w:pStyle w:val="Heading2"/>
        <w:spacing w:after="140" w:before="300"/>
      </w:pPr>
      <w:r>
        <w:rPr>
          <w:rFonts w:ascii="Arial" w:cs="Arial" w:eastAsia="Arial" w:hAnsi="Arial"/>
          <w:b/>
          <w:bCs/>
          <w:color w:val="14213D"/>
          <w:sz w:val="27"/>
          <w:szCs w:val="27"/>
        </w:rPr>
        <w:t xml:space="preserve">1.1 Why this, why now</w:t>
      </w:r>
    </w:p>
    <w:p>
      <w:pPr>
        <w:pStyle w:val="ListParagraph"/>
        <w:numPr>
          <w:ilvl w:val="0"/>
          <w:numId w:val="2"/>
        </w:numPr>
        <w:spacing w:after="100" w:line="280"/>
      </w:pPr>
      <w:r>
        <w:rPr>
          <w:rFonts w:ascii="Arial" w:cs="Arial" w:eastAsia="Arial" w:hAnsi="Arial"/>
          <w:color w:val="1F2937"/>
          <w:sz w:val="22"/>
          <w:szCs w:val="22"/>
        </w:rPr>
        <w:t xml:space="preserve">AWS Security Agent is generally available today with full API/SDK access, cross-account IAM, and native GitHub Enterprise integration — the MSSP Console can be built and piloted immediately without waiting on AWS.</w:t>
      </w:r>
    </w:p>
    <w:p>
      <w:pPr>
        <w:pStyle w:val="ListParagraph"/>
        <w:numPr>
          <w:ilvl w:val="0"/>
          <w:numId w:val="2"/>
        </w:numPr>
        <w:spacing w:after="100" w:line="280"/>
      </w:pPr>
      <w:r>
        <w:rPr>
          <w:rFonts w:ascii="Arial" w:cs="Arial" w:eastAsia="Arial" w:hAnsi="Arial"/>
          <w:color w:val="1F2937"/>
          <w:sz w:val="22"/>
          <w:szCs w:val="22"/>
        </w:rPr>
        <w:t xml:space="preserve">AWS Continuum is in gated preview (design partners include Capital One, MongoDB, Rivian, and Robinhood as of mid-2026) — a real dependency for the remediation tie-in, but one that de-risks itself: Continuum's own learn-mode/enforce-mode governance model is exactly the audit trail Comply needs to sell to regulated buyers.</w:t>
      </w:r>
    </w:p>
    <w:p>
      <w:pPr>
        <w:pStyle w:val="ListParagraph"/>
        <w:numPr>
          <w:ilvl w:val="0"/>
          <w:numId w:val="2"/>
        </w:numPr>
        <w:spacing w:after="100" w:line="280"/>
      </w:pPr>
      <w:r>
        <w:rPr>
          <w:rFonts w:ascii="Arial" w:cs="Arial" w:eastAsia="Arial" w:hAnsi="Arial"/>
          <w:color w:val="1F2937"/>
          <w:sz w:val="22"/>
          <w:szCs w:val="22"/>
        </w:rPr>
        <w:t xml:space="preserve">The MSSP market is roughly $43B in 2026; the GRC/compliance software market is roughly $23B and growing near 11% CAGR; agentic AI SOC platforms still have under 5% penetration per Gartner's Hype Cycle for Emerging Technologies — the category is real, funded, and not yet won.</w:t>
      </w:r>
    </w:p>
    <w:p>
      <w:pPr>
        <w:pStyle w:val="Heading2"/>
        <w:spacing w:after="140" w:before="300"/>
      </w:pPr>
      <w:r>
        <w:rPr>
          <w:rFonts w:ascii="Arial" w:cs="Arial" w:eastAsia="Arial" w:hAnsi="Arial"/>
          <w:b/>
          <w:bCs/>
          <w:color w:val="14213D"/>
          <w:sz w:val="27"/>
          <w:szCs w:val="27"/>
        </w:rPr>
        <w:t xml:space="preserve">1.2 What this document covers</w:t>
      </w:r>
    </w:p>
    <w:p>
      <w:pPr>
        <w:spacing w:after="160" w:before="0" w:line="300"/>
      </w:pPr>
      <w:r>
        <w:rPr>
          <w:rFonts w:ascii="Arial" w:cs="Arial" w:eastAsia="Arial" w:hAnsi="Arial"/>
          <w:color w:val="1F2937"/>
          <w:sz w:val="22"/>
          <w:szCs w:val="22"/>
        </w:rPr>
        <w:t xml:space="preserve">This document specifies the system architecture, data model, multi-tenancy and security model, the compliance mapping engine, integration surface, non-functional requirements, a phased build roadmap, and the key risks and dependencies that govern delivery. It is the technical companion to the Veriguard pitch deck and should be read alongside it for go-to-market and financial framing.</w:t>
      </w:r>
    </w:p>
    <w:p>
      <w:pPr>
        <w:pStyle w:val="Heading1"/>
        <w:spacing w:after="200" w:before="420"/>
      </w:pPr>
      <w:r>
        <w:rPr>
          <w:rFonts w:ascii="Arial" w:cs="Arial" w:eastAsia="Arial" w:hAnsi="Arial"/>
          <w:b/>
          <w:bCs/>
          <w:color w:val="14213D"/>
          <w:sz w:val="36"/>
          <w:szCs w:val="36"/>
        </w:rPr>
        <w:t xml:space="preserve">2. Market Context &amp; Problem Statement</w:t>
      </w:r>
    </w:p>
    <w:p>
      <w:pPr>
        <w:pStyle w:val="Heading2"/>
        <w:spacing w:after="140" w:before="300"/>
      </w:pPr>
      <w:r>
        <w:rPr>
          <w:rFonts w:ascii="Arial" w:cs="Arial" w:eastAsia="Arial" w:hAnsi="Arial"/>
          <w:b/>
          <w:bCs/>
          <w:color w:val="14213D"/>
          <w:sz w:val="27"/>
          <w:szCs w:val="27"/>
        </w:rPr>
        <w:t xml:space="preserve">2.1 The problem</w:t>
      </w:r>
    </w:p>
    <w:p>
      <w:pPr>
        <w:spacing w:after="160" w:before="0" w:line="300"/>
      </w:pPr>
      <w:r>
        <w:rPr>
          <w:rFonts w:ascii="Arial" w:cs="Arial" w:eastAsia="Arial" w:hAnsi="Arial"/>
          <w:color w:val="1F2937"/>
          <w:sz w:val="22"/>
          <w:szCs w:val="22"/>
        </w:rPr>
        <w:t xml:space="preserve">Enterprises adopting AWS Security Agent and AWS Continuum get excellent single-account AppSec automation, but two operational gaps remain unsolved by the underlying AWS products themselves:</w:t>
      </w:r>
    </w:p>
    <w:p>
      <w:pPr>
        <w:pStyle w:val="ListParagraph"/>
        <w:numPr>
          <w:ilvl w:val="0"/>
          <w:numId w:val="2"/>
        </w:numPr>
        <w:spacing w:after="100" w:line="280"/>
      </w:pPr>
      <w:r>
        <w:rPr>
          <w:rFonts w:ascii="Arial" w:cs="Arial" w:eastAsia="Arial" w:hAnsi="Arial"/>
          <w:b/>
          <w:bCs/>
          <w:color w:val="1F2937"/>
          <w:sz w:val="22"/>
          <w:szCs w:val="22"/>
        </w:rPr>
        <w:t xml:space="preserve">MSSPs and SIs have no resale layer. </w:t>
      </w:r>
      <w:r>
        <w:rPr>
          <w:rFonts w:ascii="Arial" w:cs="Arial" w:eastAsia="Arial" w:hAnsi="Arial"/>
          <w:color w:val="1F2937"/>
          <w:sz w:val="22"/>
          <w:szCs w:val="22"/>
        </w:rPr>
        <w:t xml:space="preserve">An MSSP managing 40 client AWS Organizations cannot run Security Agent and Continuum per-client without building its own multi-tenant orchestration, SLA tracking, and billing on top — today that means custom scripts, spreadsheets, and manual account-switching.</w:t>
      </w:r>
    </w:p>
    <w:p>
      <w:pPr>
        <w:pStyle w:val="ListParagraph"/>
        <w:numPr>
          <w:ilvl w:val="0"/>
          <w:numId w:val="2"/>
        </w:numPr>
        <w:spacing w:after="100" w:line="280"/>
      </w:pPr>
      <w:r>
        <w:rPr>
          <w:rFonts w:ascii="Arial" w:cs="Arial" w:eastAsia="Arial" w:hAnsi="Arial"/>
          <w:b/>
          <w:bCs/>
          <w:color w:val="1F2937"/>
          <w:sz w:val="22"/>
          <w:szCs w:val="22"/>
        </w:rPr>
        <w:t xml:space="preserve">Compliance evidence is still manual. </w:t>
      </w:r>
      <w:r>
        <w:rPr>
          <w:rFonts w:ascii="Arial" w:cs="Arial" w:eastAsia="Arial" w:hAnsi="Arial"/>
          <w:color w:val="1F2937"/>
          <w:sz w:val="22"/>
          <w:szCs w:val="22"/>
        </w:rPr>
        <w:t xml:space="preserve">Regulated enterprises must translate raw findings and remediation logs into control-level evidence for SOC 2, PCI-DSS, HIPAA, or FedRAMP auditors. This is still largely a screenshot-and-spreadsheet ritual performed by compliance teams who are not the people running the scans.</w:t>
      </w:r>
    </w:p>
    <w:p>
      <w:pPr>
        <w:pStyle w:val="Heading2"/>
        <w:spacing w:after="140" w:before="300"/>
      </w:pPr>
      <w:r>
        <w:rPr>
          <w:rFonts w:ascii="Arial" w:cs="Arial" w:eastAsia="Arial" w:hAnsi="Arial"/>
          <w:b/>
          <w:bCs/>
          <w:color w:val="14213D"/>
          <w:sz w:val="27"/>
          <w:szCs w:val="27"/>
        </w:rPr>
        <w:t xml:space="preserve">2.2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rPr>
          <w:cantSplit/>
          <w:tblHeader/>
        </w:trPr>
        <w:tc>
          <w:tcPr>
            <w:tcW w:type="dxa" w:w="34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Market</w:t>
            </w:r>
          </w:p>
        </w:tc>
        <w:tc>
          <w:tcPr>
            <w:tcW w:type="dxa" w:w="29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2026 size</w:t>
            </w:r>
          </w:p>
        </w:tc>
        <w:tc>
          <w:tcPr>
            <w:tcW w:type="dxa" w:w="306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Growth signal</w:t>
            </w:r>
          </w:p>
        </w:tc>
      </w:tr>
      <w:tr>
        <w:trPr>
          <w:cantSplit/>
        </w:trPr>
        <w:tc>
          <w:tcPr>
            <w:tcW w:type="dxa" w:w="34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MSSP services market</w:t>
            </w:r>
          </w:p>
        </w:tc>
        <w:tc>
          <w:tcPr>
            <w:tcW w:type="dxa" w:w="29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~$43B</w:t>
            </w:r>
          </w:p>
        </w:tc>
        <w:tc>
          <w:tcPr>
            <w:tcW w:type="dxa" w:w="30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Steady double-digit growth as enterprises outsource security operations</w:t>
            </w:r>
          </w:p>
        </w:tc>
      </w:tr>
      <w:tr>
        <w:trPr>
          <w:cantSplit/>
        </w:trPr>
        <w:tc>
          <w:tcPr>
            <w:tcW w:type="dxa" w:w="34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GRC / compliance software market</w:t>
            </w:r>
          </w:p>
        </w:tc>
        <w:tc>
          <w:tcPr>
            <w:tcW w:type="dxa" w:w="29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~$23B</w:t>
            </w:r>
          </w:p>
        </w:tc>
        <w:tc>
          <w:tcPr>
            <w:tcW w:type="dxa" w:w="30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~11% CAGR, driven by multi-framework regulatory pressure</w:t>
            </w:r>
          </w:p>
        </w:tc>
      </w:tr>
      <w:tr>
        <w:trPr>
          <w:cantSplit/>
        </w:trPr>
        <w:tc>
          <w:tcPr>
            <w:tcW w:type="dxa" w:w="34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Agentic AI SOC / AppSec platforms</w:t>
            </w:r>
          </w:p>
        </w:tc>
        <w:tc>
          <w:tcPr>
            <w:tcW w:type="dxa" w:w="29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&lt;5% penetration</w:t>
            </w:r>
          </w:p>
        </w:tc>
        <w:tc>
          <w:tcPr>
            <w:tcW w:type="dxa" w:w="30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Per Gartner Hype Cycle for Emerging Technologies — early, largely unclaimed category</w:t>
            </w:r>
          </w:p>
        </w:tc>
      </w:tr>
    </w:tbl>
    <w:p>
      <w:pPr>
        <w:spacing w:after="240" w:before="80"/>
      </w:pPr>
      <w:r>
        <w:rPr>
          <w:rFonts w:ascii="Arial" w:cs="Arial" w:eastAsia="Arial" w:hAnsi="Arial"/>
          <w:color w:val="64748B"/>
          <w:sz w:val="19"/>
          <w:szCs w:val="19"/>
        </w:rPr>
        <w:t xml:space="preserve">Figures are directional market-sizing references (Mordor Intelligence, Gartner) intended to size the opportunity, not audited projections.</w:t>
      </w:r>
    </w:p>
    <w:p>
      <w:pPr>
        <w:pStyle w:val="Heading2"/>
        <w:spacing w:after="140" w:before="300"/>
      </w:pPr>
      <w:r>
        <w:rPr>
          <w:rFonts w:ascii="Arial" w:cs="Arial" w:eastAsia="Arial" w:hAnsi="Arial"/>
          <w:b/>
          <w:bCs/>
          <w:color w:val="14213D"/>
          <w:sz w:val="27"/>
          <w:szCs w:val="27"/>
        </w:rPr>
        <w:t xml:space="preserve">2.3 Competitive framing</w:t>
      </w:r>
    </w:p>
    <w:p>
      <w:pPr>
        <w:spacing w:after="160" w:before="0" w:line="300"/>
      </w:pPr>
      <w:r>
        <w:rPr>
          <w:rFonts w:ascii="Arial" w:cs="Arial" w:eastAsia="Arial" w:hAnsi="Arial"/>
          <w:color w:val="1F2937"/>
          <w:sz w:val="22"/>
          <w:szCs w:val="22"/>
        </w:rPr>
        <w:t xml:space="preserve">Generic agentic-AI SOC platforms (Dropzone AI, Torq, Radiant Security, Prophet Security) are built for SOC alert triage on top of detection tools like SIEM and EDR, not application security. None has a native tie-in to AWS's own pentesting or remediation agents, and none is compliance-native at the finding level — compliance reporting, where it exists, is bolted on after the fact. Veriguard's wedge is being purpose-built on AWS's own frontier AppSec and remediation engine, multi-tenant and MSSP-ready from day one, and compliance-native rather than retrofitted.</w:t>
      </w:r>
    </w:p>
    <w:p>
      <w:pPr>
        <w:pStyle w:val="Heading1"/>
        <w:spacing w:after="200" w:before="420"/>
      </w:pPr>
      <w:r>
        <w:rPr>
          <w:rFonts w:ascii="Arial" w:cs="Arial" w:eastAsia="Arial" w:hAnsi="Arial"/>
          <w:b/>
          <w:bCs/>
          <w:color w:val="14213D"/>
          <w:sz w:val="36"/>
          <w:szCs w:val="36"/>
        </w:rPr>
        <w:t xml:space="preserve">3. Product Overview</w:t>
      </w:r>
    </w:p>
    <w:p>
      <w:pPr>
        <w:pStyle w:val="Heading2"/>
        <w:spacing w:after="140" w:before="300"/>
      </w:pPr>
      <w:r>
        <w:rPr>
          <w:rFonts w:ascii="Arial" w:cs="Arial" w:eastAsia="Arial" w:hAnsi="Arial"/>
          <w:b/>
          <w:bCs/>
          <w:color w:val="14213D"/>
          <w:sz w:val="27"/>
          <w:szCs w:val="27"/>
        </w:rPr>
        <w:t xml:space="preserve">3.1 Vision</w:t>
      </w:r>
    </w:p>
    <w:p>
      <w:pPr>
        <w:spacing w:after="160" w:before="0" w:line="300"/>
      </w:pPr>
      <w:r>
        <w:rPr>
          <w:rFonts w:ascii="Arial" w:cs="Arial" w:eastAsia="Arial" w:hAnsi="Arial"/>
          <w:color w:val="1F2937"/>
          <w:sz w:val="22"/>
          <w:szCs w:val="22"/>
        </w:rPr>
        <w:t xml:space="preserve">Veriguard is the orchestration and intelligence layer that sits between client AWS Organizations (running AWS Security Agent and AWS Continuum natively) and the people who need to act on or attest to the results — MSSP operators and compliance teams. Veriguard does not replace Security Agent or Continuum; it ingests their output, normalizes it across tenants, governs what happens next, and reports it in the language each buyer needs.</w:t>
      </w:r>
    </w:p>
    <w:p>
      <w:pPr>
        <w:pStyle w:val="Heading2"/>
        <w:spacing w:after="140" w:before="300"/>
      </w:pPr>
      <w:r>
        <w:rPr>
          <w:rFonts w:ascii="Arial" w:cs="Arial" w:eastAsia="Arial" w:hAnsi="Arial"/>
          <w:b/>
          <w:bCs/>
          <w:color w:val="14213D"/>
          <w:sz w:val="27"/>
          <w:szCs w:val="27"/>
        </w:rPr>
        <w:t xml:space="preserve">3.2 Two modules, one core</w:t>
      </w:r>
    </w:p>
    <w:p>
      <w:pPr>
        <w:pStyle w:val="Heading3"/>
        <w:spacing w:after="100" w:before="220"/>
      </w:pPr>
      <w:r>
        <w:rPr>
          <w:rFonts w:ascii="Arial" w:cs="Arial" w:eastAsia="Arial" w:hAnsi="Arial"/>
          <w:b/>
          <w:bCs/>
          <w:color w:val="0E7C86"/>
          <w:sz w:val="23"/>
          <w:szCs w:val="23"/>
        </w:rPr>
        <w:t xml:space="preserve">MSSP Console</w:t>
      </w:r>
    </w:p>
    <w:p>
      <w:pPr>
        <w:pStyle w:val="ListParagraph"/>
        <w:numPr>
          <w:ilvl w:val="0"/>
          <w:numId w:val="2"/>
        </w:numPr>
        <w:spacing w:after="100" w:line="280"/>
      </w:pPr>
      <w:r>
        <w:rPr>
          <w:rFonts w:ascii="Arial" w:cs="Arial" w:eastAsia="Arial" w:hAnsi="Arial"/>
          <w:color w:val="1F2937"/>
          <w:sz w:val="22"/>
          <w:szCs w:val="22"/>
        </w:rPr>
        <w:t xml:space="preserve">Centralized, multi-tenant dashboard across every client AWS Organization onboarded to Veriguard.</w:t>
      </w:r>
    </w:p>
    <w:p>
      <w:pPr>
        <w:pStyle w:val="ListParagraph"/>
        <w:numPr>
          <w:ilvl w:val="0"/>
          <w:numId w:val="2"/>
        </w:numPr>
        <w:spacing w:after="100" w:line="280"/>
      </w:pPr>
      <w:r>
        <w:rPr>
          <w:rFonts w:ascii="Arial" w:cs="Arial" w:eastAsia="Arial" w:hAnsi="Arial"/>
          <w:color w:val="1F2937"/>
          <w:sz w:val="22"/>
          <w:szCs w:val="22"/>
        </w:rPr>
        <w:t xml:space="preserve">Cross-account orchestration of Security Agent pentest runs and Continuum remediation, scoped per tenant with least-privilege IAM.</w:t>
      </w:r>
    </w:p>
    <w:p>
      <w:pPr>
        <w:pStyle w:val="ListParagraph"/>
        <w:numPr>
          <w:ilvl w:val="0"/>
          <w:numId w:val="2"/>
        </w:numPr>
        <w:spacing w:after="100" w:line="280"/>
      </w:pPr>
      <w:r>
        <w:rPr>
          <w:rFonts w:ascii="Arial" w:cs="Arial" w:eastAsia="Arial" w:hAnsi="Arial"/>
          <w:color w:val="1F2937"/>
          <w:sz w:val="22"/>
          <w:szCs w:val="22"/>
        </w:rPr>
        <w:t xml:space="preserve">SLA tracking (time-to-detect, time-to-remediate) per client contract, with breach alerting.</w:t>
      </w:r>
    </w:p>
    <w:p>
      <w:pPr>
        <w:pStyle w:val="ListParagraph"/>
        <w:numPr>
          <w:ilvl w:val="0"/>
          <w:numId w:val="2"/>
        </w:numPr>
        <w:spacing w:after="100" w:line="280"/>
      </w:pPr>
      <w:r>
        <w:rPr>
          <w:rFonts w:ascii="Arial" w:cs="Arial" w:eastAsia="Arial" w:hAnsi="Arial"/>
          <w:color w:val="1F2937"/>
          <w:sz w:val="22"/>
          <w:szCs w:val="22"/>
        </w:rPr>
        <w:t xml:space="preserve">Usage-based billing and white-label client reporting, so MSSPs can resell continuous AppSec under their own brand.</w:t>
      </w:r>
    </w:p>
    <w:p>
      <w:pPr>
        <w:pStyle w:val="Heading3"/>
        <w:spacing w:after="100" w:before="220"/>
      </w:pPr>
      <w:r>
        <w:rPr>
          <w:rFonts w:ascii="Arial" w:cs="Arial" w:eastAsia="Arial" w:hAnsi="Arial"/>
          <w:b/>
          <w:bCs/>
          <w:color w:val="0E7C86"/>
          <w:sz w:val="23"/>
          <w:szCs w:val="23"/>
        </w:rPr>
        <w:t xml:space="preserve">Comply</w:t>
      </w:r>
    </w:p>
    <w:p>
      <w:pPr>
        <w:pStyle w:val="ListParagraph"/>
        <w:numPr>
          <w:ilvl w:val="0"/>
          <w:numId w:val="2"/>
        </w:numPr>
        <w:spacing w:after="100" w:line="280"/>
      </w:pPr>
      <w:r>
        <w:rPr>
          <w:rFonts w:ascii="Arial" w:cs="Arial" w:eastAsia="Arial" w:hAnsi="Arial"/>
          <w:color w:val="1F2937"/>
          <w:sz w:val="22"/>
          <w:szCs w:val="22"/>
        </w:rPr>
        <w:t xml:space="preserve">Automatic control-mapping engine that ties every finding and remediation action to SOC 2, PCI-DSS, HIPAA, or FedRAMP control IDs.</w:t>
      </w:r>
    </w:p>
    <w:p>
      <w:pPr>
        <w:pStyle w:val="ListParagraph"/>
        <w:numPr>
          <w:ilvl w:val="0"/>
          <w:numId w:val="2"/>
        </w:numPr>
        <w:spacing w:after="100" w:line="280"/>
      </w:pPr>
      <w:r>
        <w:rPr>
          <w:rFonts w:ascii="Arial" w:cs="Arial" w:eastAsia="Arial" w:hAnsi="Arial"/>
          <w:color w:val="1F2937"/>
          <w:sz w:val="22"/>
          <w:szCs w:val="22"/>
        </w:rPr>
        <w:t xml:space="preserve">Immutable, audit-ready evidence packages generated on demand or on a schedule, stored with S3 Object Lock.</w:t>
      </w:r>
    </w:p>
    <w:p>
      <w:pPr>
        <w:pStyle w:val="ListParagraph"/>
        <w:numPr>
          <w:ilvl w:val="0"/>
          <w:numId w:val="2"/>
        </w:numPr>
        <w:spacing w:after="100" w:line="280"/>
      </w:pPr>
      <w:r>
        <w:rPr>
          <w:rFonts w:ascii="Arial" w:cs="Arial" w:eastAsia="Arial" w:hAnsi="Arial"/>
          <w:color w:val="1F2937"/>
          <w:sz w:val="22"/>
          <w:szCs w:val="22"/>
        </w:rPr>
        <w:t xml:space="preserve">Continuous posture-drift tracking, so a control that was satisfied last quarter but has since regressed is flagged before the audit, not during it.</w:t>
      </w:r>
    </w:p>
    <w:p>
      <w:pPr>
        <w:pStyle w:val="ListParagraph"/>
        <w:numPr>
          <w:ilvl w:val="0"/>
          <w:numId w:val="2"/>
        </w:numPr>
        <w:spacing w:after="100" w:line="280"/>
      </w:pPr>
      <w:r>
        <w:rPr>
          <w:rFonts w:ascii="Arial" w:cs="Arial" w:eastAsia="Arial" w:hAnsi="Arial"/>
          <w:color w:val="1F2937"/>
          <w:sz w:val="22"/>
          <w:szCs w:val="22"/>
        </w:rPr>
        <w:t xml:space="preserve">Direct export formats for auditors and GRC tools, replacing manual screenshot-and-spreadsheet evidence collection.</w:t>
      </w:r>
    </w:p>
    <w:p>
      <w:pPr>
        <w:pStyle w:val="Heading2"/>
        <w:spacing w:after="140" w:before="300"/>
      </w:pPr>
      <w:r>
        <w:rPr>
          <w:rFonts w:ascii="Arial" w:cs="Arial" w:eastAsia="Arial" w:hAnsi="Arial"/>
          <w:b/>
          <w:bCs/>
          <w:color w:val="14213D"/>
          <w:sz w:val="27"/>
          <w:szCs w:val="27"/>
        </w:rPr>
        <w:t xml:space="preserve">3.3 Target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cantSplit/>
          <w:tblHeader/>
        </w:trPr>
        <w:tc>
          <w:tcPr>
            <w:tcW w:type="dxa" w:w="23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Persona</w:t>
            </w:r>
          </w:p>
        </w:tc>
        <w:tc>
          <w:tcPr>
            <w:tcW w:type="dxa" w:w="35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Buys</w:t>
            </w:r>
          </w:p>
        </w:tc>
        <w:tc>
          <w:tcPr>
            <w:tcW w:type="dxa" w:w="356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Primary need</w:t>
            </w:r>
          </w:p>
        </w:tc>
      </w:tr>
      <w:tr>
        <w:trPr>
          <w:cantSplit/>
        </w:trPr>
        <w:tc>
          <w:tcPr>
            <w:tcW w:type="dxa" w:w="23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MSSP / SI operations lead</w:t>
            </w:r>
          </w:p>
        </w:tc>
        <w:tc>
          <w:tcPr>
            <w:tcW w:type="dxa" w:w="35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MSSP Console (primary)</w:t>
            </w:r>
          </w:p>
        </w:tc>
        <w:tc>
          <w:tcPr>
            <w:tcW w:type="dxa" w:w="35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Run AppSec for many clients without N separate tool stacks; defend margins with automation</w:t>
            </w:r>
          </w:p>
        </w:tc>
      </w:tr>
      <w:tr>
        <w:trPr>
          <w:cantSplit/>
        </w:trPr>
        <w:tc>
          <w:tcPr>
            <w:tcW w:type="dxa" w:w="23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Regulated enterprise CISO / compliance lead</w:t>
            </w:r>
          </w:p>
        </w:tc>
        <w:tc>
          <w:tcPr>
            <w:tcW w:type="dxa" w:w="35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Comply (primary)</w:t>
            </w:r>
          </w:p>
        </w:tc>
        <w:tc>
          <w:tcPr>
            <w:tcW w:type="dxa" w:w="35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Pass SOC 2 / PCI-DSS / HIPAA / FedRAMP audits without a manual evidence sprint each cycle</w:t>
            </w:r>
          </w:p>
        </w:tc>
      </w:tr>
      <w:tr>
        <w:trPr>
          <w:cantSplit/>
        </w:trPr>
        <w:tc>
          <w:tcPr>
            <w:tcW w:type="dxa" w:w="23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 account team / ISV partner</w:t>
            </w:r>
          </w:p>
        </w:tc>
        <w:tc>
          <w:tcPr>
            <w:tcW w:type="dxa" w:w="35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Co-sell motion</w:t>
            </w:r>
          </w:p>
        </w:tc>
        <w:tc>
          <w:tcPr>
            <w:tcW w:type="dxa" w:w="35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 Marketplace-ready ISV that extends Security Agent and Continuum into underserved buyer segments</w:t>
            </w:r>
          </w:p>
        </w:tc>
      </w:tr>
    </w:tbl>
    <w:p>
      <w:pPr>
        <w:pStyle w:val="Heading1"/>
        <w:spacing w:after="200" w:before="420"/>
      </w:pPr>
      <w:r>
        <w:rPr>
          <w:rFonts w:ascii="Arial" w:cs="Arial" w:eastAsia="Arial" w:hAnsi="Arial"/>
          <w:b/>
          <w:bCs/>
          <w:color w:val="14213D"/>
          <w:sz w:val="36"/>
          <w:szCs w:val="36"/>
        </w:rPr>
        <w:t xml:space="preserve">4. System Architecture</w:t>
      </w:r>
    </w:p>
    <w:p>
      <w:pPr>
        <w:pStyle w:val="Heading2"/>
        <w:spacing w:after="140" w:before="300"/>
      </w:pPr>
      <w:r>
        <w:rPr>
          <w:rFonts w:ascii="Arial" w:cs="Arial" w:eastAsia="Arial" w:hAnsi="Arial"/>
          <w:b/>
          <w:bCs/>
          <w:color w:val="14213D"/>
          <w:sz w:val="27"/>
          <w:szCs w:val="27"/>
        </w:rPr>
        <w:t xml:space="preserve">4.1 Architectural principles</w:t>
      </w:r>
    </w:p>
    <w:p>
      <w:pPr>
        <w:pStyle w:val="ListParagraph"/>
        <w:numPr>
          <w:ilvl w:val="0"/>
          <w:numId w:val="2"/>
        </w:numPr>
        <w:spacing w:after="100" w:line="280"/>
      </w:pPr>
      <w:r>
        <w:rPr>
          <w:rFonts w:ascii="Arial" w:cs="Arial" w:eastAsia="Arial" w:hAnsi="Arial"/>
          <w:color w:val="1F2937"/>
          <w:sz w:val="22"/>
          <w:szCs w:val="22"/>
        </w:rPr>
        <w:t xml:space="preserve">AWS-native throughout — no new infrastructure paradigm for AWS-centric buyers to adopt.</w:t>
      </w:r>
    </w:p>
    <w:p>
      <w:pPr>
        <w:pStyle w:val="ListParagraph"/>
        <w:numPr>
          <w:ilvl w:val="0"/>
          <w:numId w:val="2"/>
        </w:numPr>
        <w:spacing w:after="100" w:line="280"/>
      </w:pPr>
      <w:r>
        <w:rPr>
          <w:rFonts w:ascii="Arial" w:cs="Arial" w:eastAsia="Arial" w:hAnsi="Arial"/>
          <w:color w:val="1F2937"/>
          <w:sz w:val="22"/>
          <w:szCs w:val="22"/>
        </w:rPr>
        <w:t xml:space="preserve">Tenant isolation is structural, not a configuration option — least-privilege, cross-account IAM scoped per tenant from the first line of code.</w:t>
      </w:r>
    </w:p>
    <w:p>
      <w:pPr>
        <w:pStyle w:val="ListParagraph"/>
        <w:numPr>
          <w:ilvl w:val="0"/>
          <w:numId w:val="2"/>
        </w:numPr>
        <w:spacing w:after="100" w:line="280"/>
      </w:pPr>
      <w:r>
        <w:rPr>
          <w:rFonts w:ascii="Arial" w:cs="Arial" w:eastAsia="Arial" w:hAnsi="Arial"/>
          <w:color w:val="1F2937"/>
          <w:sz w:val="22"/>
          <w:szCs w:val="22"/>
        </w:rPr>
        <w:t xml:space="preserve">Every action is idempotent and event-sourced, so the audit trail (a sellable feature for Comply) falls out of the architecture rather than being bolted on.</w:t>
      </w:r>
    </w:p>
    <w:p>
      <w:pPr>
        <w:pStyle w:val="ListParagraph"/>
        <w:numPr>
          <w:ilvl w:val="0"/>
          <w:numId w:val="2"/>
        </w:numPr>
        <w:spacing w:after="100" w:line="280"/>
      </w:pPr>
      <w:r>
        <w:rPr>
          <w:rFonts w:ascii="Arial" w:cs="Arial" w:eastAsia="Arial" w:hAnsi="Arial"/>
          <w:color w:val="1F2937"/>
          <w:sz w:val="22"/>
          <w:szCs w:val="22"/>
        </w:rPr>
        <w:t xml:space="preserve">Human-in-the-loop governance on remediation mirrors Continuum's own learn-mode / enforce-mode model, so Veriguard's control plane and AWS's underlying control plane never disagree about what is automatic and what requires approval.</w:t>
      </w:r>
    </w:p>
    <w:p>
      <w:pPr>
        <w:pStyle w:val="Heading2"/>
        <w:spacing w:after="140" w:before="300"/>
      </w:pPr>
      <w:r>
        <w:rPr>
          <w:rFonts w:ascii="Arial" w:cs="Arial" w:eastAsia="Arial" w:hAnsi="Arial"/>
          <w:b/>
          <w:bCs/>
          <w:color w:val="14213D"/>
          <w:sz w:val="27"/>
          <w:szCs w:val="27"/>
        </w:rPr>
        <w:t xml:space="preserve">4.2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750"/>
        <w:gridCol w:w="2780"/>
        <w:gridCol w:w="2080"/>
      </w:tblGrid>
      <w:tr>
        <w:trPr>
          <w:cantSplit/>
          <w:tblHeader/>
        </w:trPr>
        <w:tc>
          <w:tcPr>
            <w:tcW w:type="dxa" w:w="175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Layer</w:t>
            </w:r>
          </w:p>
        </w:tc>
        <w:tc>
          <w:tcPr>
            <w:tcW w:type="dxa" w:w="275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Components</w:t>
            </w:r>
          </w:p>
        </w:tc>
        <w:tc>
          <w:tcPr>
            <w:tcW w:type="dxa" w:w="278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Core AWS services</w:t>
            </w:r>
          </w:p>
        </w:tc>
        <w:tc>
          <w:tcPr>
            <w:tcW w:type="dxa" w:w="208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Purpose</w:t>
            </w:r>
          </w:p>
        </w:tc>
      </w:tr>
      <w:tr>
        <w:trPr>
          <w:cantSplit/>
        </w:trPr>
        <w:tc>
          <w:tcPr>
            <w:tcW w:type="dxa" w:w="175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Ingestion</w:t>
            </w:r>
          </w:p>
        </w:tc>
        <w:tc>
          <w:tcPr>
            <w:tcW w:type="dxa" w:w="275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Event listeners, webhook receivers, normalization workers</w:t>
            </w:r>
          </w:p>
        </w:tc>
        <w:tc>
          <w:tcPr>
            <w:tcW w:type="dxa" w:w="278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EventBridge, SQS, Lambda</w:t>
            </w:r>
          </w:p>
        </w:tc>
        <w:tc>
          <w:tcPr>
            <w:tcW w:type="dxa" w:w="208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Capture Security Agent findings and Continuum remediation events from every client account in near real time</w:t>
            </w:r>
          </w:p>
        </w:tc>
      </w:tr>
      <w:tr>
        <w:trPr>
          <w:cantSplit/>
        </w:trPr>
        <w:tc>
          <w:tcPr>
            <w:tcW w:type="dxa" w:w="175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Core data</w:t>
            </w:r>
          </w:p>
        </w:tc>
        <w:tc>
          <w:tcPr>
            <w:tcW w:type="dxa" w:w="275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Tenant store, finding store, evidence vault</w:t>
            </w:r>
          </w:p>
        </w:tc>
        <w:tc>
          <w:tcPr>
            <w:tcW w:type="dxa" w:w="278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Aurora (PostgreSQL), DynamoDB, S3 with Object Lock</w:t>
            </w:r>
          </w:p>
        </w:tc>
        <w:tc>
          <w:tcPr>
            <w:tcW w:type="dxa" w:w="208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Relational tenant/finding data, high-throughput event and audit logging, immutable evidence storage</w:t>
            </w:r>
          </w:p>
        </w:tc>
      </w:tr>
      <w:tr>
        <w:trPr>
          <w:cantSplit/>
        </w:trPr>
        <w:tc>
          <w:tcPr>
            <w:tcW w:type="dxa" w:w="175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Engines</w:t>
            </w:r>
          </w:p>
        </w:tc>
        <w:tc>
          <w:tcPr>
            <w:tcW w:type="dxa" w:w="275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Compliance mapping engine, remediation governance</w:t>
            </w:r>
          </w:p>
        </w:tc>
        <w:tc>
          <w:tcPr>
            <w:tcW w:type="dxa" w:w="278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Bedrock, Step Functions</w:t>
            </w:r>
          </w:p>
        </w:tc>
        <w:tc>
          <w:tcPr>
            <w:tcW w:type="dxa" w:w="208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Map findings to control IDs; enforce approval workflows before remediation moves from learn to enforce mode</w:t>
            </w:r>
          </w:p>
        </w:tc>
      </w:tr>
      <w:tr>
        <w:trPr>
          <w:cantSplit/>
        </w:trPr>
        <w:tc>
          <w:tcPr>
            <w:tcW w:type="dxa" w:w="175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Experience</w:t>
            </w:r>
          </w:p>
        </w:tc>
        <w:tc>
          <w:tcPr>
            <w:tcW w:type="dxa" w:w="275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Dashboards, billing, integrations</w:t>
            </w:r>
          </w:p>
        </w:tc>
        <w:tc>
          <w:tcPr>
            <w:tcW w:type="dxa" w:w="278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Marketplace metering, API Gateway, Cognito / IAM Identity Center</w:t>
            </w:r>
          </w:p>
        </w:tc>
        <w:tc>
          <w:tcPr>
            <w:tcW w:type="dxa" w:w="208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Tenant-facing UI, usage-based billing events, Jira / ServiceNow / Slack integrations</w:t>
            </w:r>
          </w:p>
        </w:tc>
      </w:tr>
    </w:tbl>
    <w:p>
      <w:pPr>
        <w:pStyle w:val="Heading2"/>
        <w:spacing w:after="140" w:before="300"/>
      </w:pPr>
      <w:r>
        <w:rPr>
          <w:rFonts w:ascii="Arial" w:cs="Arial" w:eastAsia="Arial" w:hAnsi="Arial"/>
          <w:b/>
          <w:bCs/>
          <w:color w:val="14213D"/>
          <w:sz w:val="27"/>
          <w:szCs w:val="27"/>
        </w:rPr>
        <w:t xml:space="preserve">4.3 Request and data flow</w:t>
      </w:r>
    </w:p>
    <w:p>
      <w:pPr>
        <w:spacing w:after="160" w:before="0" w:line="300"/>
      </w:pPr>
      <w:r>
        <w:rPr>
          <w:rFonts w:ascii="Arial" w:cs="Arial" w:eastAsia="Arial" w:hAnsi="Arial"/>
          <w:color w:val="1F2937"/>
          <w:sz w:val="22"/>
          <w:szCs w:val="22"/>
        </w:rPr>
        <w:t xml:space="preserve">Security Agent and Continuum run natively inside each client AWS Organization, inside an Agent Space scoped to that client's repos and configs. Findings and remediation events are pushed to Veriguard's ingestion layer via EventBridge over a cross-account IAM role granted by AWS Organizations — Veriguard never holds standing credentials inside a client account; it assumes a scoped role per operation.</w:t>
      </w:r>
    </w:p>
    <w:p>
      <w:pPr>
        <w:spacing w:after="160" w:before="0" w:line="300"/>
      </w:pPr>
      <w:r>
        <w:rPr>
          <w:rFonts w:ascii="Arial" w:cs="Arial" w:eastAsia="Arial" w:hAnsi="Arial"/>
          <w:color w:val="1F2937"/>
          <w:sz w:val="22"/>
          <w:szCs w:val="22"/>
        </w:rPr>
        <w:t xml:space="preserve">The ingestion layer normalizes events into a common schema and writes tenant/finding state to Aurora, while every raw event is appended to DynamoDB as an immutable audit record. The compliance engine consumes normalized findings asynchronously, calls Bedrock to propose control mappings against the tenant's selected frameworks, and writes mapped results back to the finding store for human review. Step Functions encodes the remediation governance workflow: a proposed Continuum remediation is held in learn mode pending tenant-defined approval policy before any state transition to enforce mode is allowed. Evidence packages are assembled on demand from the finding and mapping stores and written once, read-only, to S3 with Object Lock — they cannot be edited or deleted by Veriguard itself, including by its own operators, for the duration of the retention policy.</w:t>
      </w:r>
    </w:p>
    <w:p>
      <w:pPr>
        <w:pStyle w:val="Heading2"/>
        <w:spacing w:after="140" w:before="300"/>
      </w:pPr>
      <w:r>
        <w:rPr>
          <w:rFonts w:ascii="Arial" w:cs="Arial" w:eastAsia="Arial" w:hAnsi="Arial"/>
          <w:b/>
          <w:bCs/>
          <w:color w:val="14213D"/>
          <w:sz w:val="27"/>
          <w:szCs w:val="27"/>
        </w:rPr>
        <w:t xml:space="preserve">4.4 AWS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AWS service</w:t>
            </w:r>
          </w:p>
        </w:tc>
        <w:tc>
          <w:tcPr>
            <w:tcW w:type="dxa" w:w="666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Role in Veriguard</w:t>
            </w:r>
          </w:p>
        </w:tc>
      </w:tr>
      <w:tr>
        <w:trPr>
          <w:cantSplit/>
        </w:trPr>
        <w:tc>
          <w:tcPr>
            <w:tcW w:type="dxa" w:w="27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 Security Agent</w:t>
            </w:r>
          </w:p>
        </w:tc>
        <w:tc>
          <w:tcPr>
            <w:tcW w:type="dxa" w:w="66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Source of pentest, code review, and design review findings per client account (GA, full API/SDK + GitHub Enterprise integration)</w:t>
            </w:r>
          </w:p>
        </w:tc>
      </w:tr>
      <w:tr>
        <w:trPr>
          <w:cantSplit/>
        </w:trPr>
        <w:tc>
          <w:tcPr>
            <w:tcW w:type="dxa" w:w="27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 Continuum</w:t>
            </w:r>
          </w:p>
        </w:tc>
        <w:tc>
          <w:tcPr>
            <w:tcW w:type="dxa" w:w="66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Source of remediation actions and learn/enforce governance state (gated preview as of mid-2026)</w:t>
            </w:r>
          </w:p>
        </w:tc>
      </w:tr>
      <w:tr>
        <w:trPr>
          <w:cantSplit/>
        </w:trPr>
        <w:tc>
          <w:tcPr>
            <w:tcW w:type="dxa" w:w="27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 Organizations + IAM</w:t>
            </w:r>
          </w:p>
        </w:tc>
        <w:tc>
          <w:tcPr>
            <w:tcW w:type="dxa" w:w="66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Cross-account role assumption; the structural basis for tenant isolation</w:t>
            </w:r>
          </w:p>
        </w:tc>
      </w:tr>
      <w:tr>
        <w:trPr>
          <w:cantSplit/>
        </w:trPr>
        <w:tc>
          <w:tcPr>
            <w:tcW w:type="dxa" w:w="27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EventBridge / SQS / Lambda</w:t>
            </w:r>
          </w:p>
        </w:tc>
        <w:tc>
          <w:tcPr>
            <w:tcW w:type="dxa" w:w="66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Event ingestion, normalization, and asynchronous processing</w:t>
            </w:r>
          </w:p>
        </w:tc>
      </w:tr>
      <w:tr>
        <w:trPr>
          <w:cantSplit/>
        </w:trPr>
        <w:tc>
          <w:tcPr>
            <w:tcW w:type="dxa" w:w="27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Aurora (PostgreSQL)</w:t>
            </w:r>
          </w:p>
        </w:tc>
        <w:tc>
          <w:tcPr>
            <w:tcW w:type="dxa" w:w="66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Tenant, account, finding, and control-mapping relational data</w:t>
            </w:r>
          </w:p>
        </w:tc>
      </w:tr>
      <w:tr>
        <w:trPr>
          <w:cantSplit/>
        </w:trPr>
        <w:tc>
          <w:tcPr>
            <w:tcW w:type="dxa" w:w="27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DynamoDB</w:t>
            </w:r>
          </w:p>
        </w:tc>
        <w:tc>
          <w:tcPr>
            <w:tcW w:type="dxa" w:w="66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High-throughput event log and immutable audit trail</w:t>
            </w:r>
          </w:p>
        </w:tc>
      </w:tr>
      <w:tr>
        <w:trPr>
          <w:cantSplit/>
        </w:trPr>
        <w:tc>
          <w:tcPr>
            <w:tcW w:type="dxa" w:w="27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S3 (Object Lock) + KMS</w:t>
            </w:r>
          </w:p>
        </w:tc>
        <w:tc>
          <w:tcPr>
            <w:tcW w:type="dxa" w:w="66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Write-once evidence packages, encrypted at rest</w:t>
            </w:r>
          </w:p>
        </w:tc>
      </w:tr>
      <w:tr>
        <w:trPr>
          <w:cantSplit/>
        </w:trPr>
        <w:tc>
          <w:tcPr>
            <w:tcW w:type="dxa" w:w="27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Amazon Bedrock</w:t>
            </w:r>
          </w:p>
        </w:tc>
        <w:tc>
          <w:tcPr>
            <w:tcW w:type="dxa" w:w="66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LLM-assisted control mapping of findings to SOC 2 / PCI-DSS / HIPAA / FedRAMP control IDs</w:t>
            </w:r>
          </w:p>
        </w:tc>
      </w:tr>
      <w:tr>
        <w:trPr>
          <w:cantSplit/>
        </w:trPr>
        <w:tc>
          <w:tcPr>
            <w:tcW w:type="dxa" w:w="27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Step Functions</w:t>
            </w:r>
          </w:p>
        </w:tc>
        <w:tc>
          <w:tcPr>
            <w:tcW w:type="dxa" w:w="66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Remediation approval workflow and learn-to-enforce mode transitions</w:t>
            </w:r>
          </w:p>
        </w:tc>
      </w:tr>
      <w:tr>
        <w:trPr>
          <w:cantSplit/>
        </w:trPr>
        <w:tc>
          <w:tcPr>
            <w:tcW w:type="dxa" w:w="27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Cognito / IAM Identity Center</w:t>
            </w:r>
          </w:p>
        </w:tc>
        <w:tc>
          <w:tcPr>
            <w:tcW w:type="dxa" w:w="66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Tenant and operator authentication and SSO</w:t>
            </w:r>
          </w:p>
        </w:tc>
      </w:tr>
      <w:tr>
        <w:trPr>
          <w:cantSplit/>
        </w:trPr>
        <w:tc>
          <w:tcPr>
            <w:tcW w:type="dxa" w:w="27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CloudTrail</w:t>
            </w:r>
          </w:p>
        </w:tc>
        <w:tc>
          <w:tcPr>
            <w:tcW w:type="dxa" w:w="66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Action-level audit log of everything Veriguard does on a client account</w:t>
            </w:r>
          </w:p>
        </w:tc>
      </w:tr>
      <w:tr>
        <w:trPr>
          <w:cantSplit/>
        </w:trPr>
        <w:tc>
          <w:tcPr>
            <w:tcW w:type="dxa" w:w="27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 Marketplace metering API</w:t>
            </w:r>
          </w:p>
        </w:tc>
        <w:tc>
          <w:tcPr>
            <w:tcW w:type="dxa" w:w="66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Usage-based billing events for the MSSP Console</w:t>
            </w:r>
          </w:p>
        </w:tc>
      </w:tr>
    </w:tbl>
    <w:p>
      <w:pPr>
        <w:pStyle w:val="Heading1"/>
        <w:spacing w:after="200" w:before="420"/>
      </w:pPr>
      <w:r>
        <w:rPr>
          <w:rFonts w:ascii="Arial" w:cs="Arial" w:eastAsia="Arial" w:hAnsi="Arial"/>
          <w:b/>
          <w:bCs/>
          <w:color w:val="14213D"/>
          <w:sz w:val="36"/>
          <w:szCs w:val="36"/>
        </w:rPr>
        <w:t xml:space="preserve">5. Data Model</w:t>
      </w:r>
    </w:p>
    <w:p>
      <w:pPr>
        <w:pStyle w:val="Heading2"/>
        <w:spacing w:after="140" w:before="300"/>
      </w:pPr>
      <w:r>
        <w:rPr>
          <w:rFonts w:ascii="Arial" w:cs="Arial" w:eastAsia="Arial" w:hAnsi="Arial"/>
          <w:b/>
          <w:bCs/>
          <w:color w:val="14213D"/>
          <w:sz w:val="27"/>
          <w:szCs w:val="27"/>
        </w:rPr>
        <w:t xml:space="preserve">5.1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cantSplit/>
          <w:tblHeader/>
        </w:trPr>
        <w:tc>
          <w:tcPr>
            <w:tcW w:type="dxa" w:w="21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Entity</w:t>
            </w:r>
          </w:p>
        </w:tc>
        <w:tc>
          <w:tcPr>
            <w:tcW w:type="dxa" w:w="406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Description</w:t>
            </w:r>
          </w:p>
        </w:tc>
        <w:tc>
          <w:tcPr>
            <w:tcW w:type="dxa" w:w="32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Primary store</w:t>
            </w:r>
          </w:p>
        </w:tc>
      </w:tr>
      <w:tr>
        <w:trPr>
          <w:cantSplit/>
        </w:trPr>
        <w:tc>
          <w:tcPr>
            <w:tcW w:type="dxa" w:w="21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Tenant</w:t>
            </w:r>
          </w:p>
        </w:tc>
        <w:tc>
          <w:tcPr>
            <w:tcW w:type="dxa" w:w="40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An MSSP client or enterprise business unit onboarded to Veriguard; owns one or more AWS accounts</w:t>
            </w:r>
          </w:p>
        </w:tc>
        <w:tc>
          <w:tcPr>
            <w:tcW w:type="dxa" w:w="32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Aurora</w:t>
            </w:r>
          </w:p>
        </w:tc>
      </w:tr>
      <w:tr>
        <w:trPr>
          <w:cantSplit/>
        </w:trPr>
        <w:tc>
          <w:tcPr>
            <w:tcW w:type="dxa" w:w="21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AWSAccount</w:t>
            </w:r>
          </w:p>
        </w:tc>
        <w:tc>
          <w:tcPr>
            <w:tcW w:type="dxa" w:w="40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 client AWS account or Organization linked via cross-account IAM role</w:t>
            </w:r>
          </w:p>
        </w:tc>
        <w:tc>
          <w:tcPr>
            <w:tcW w:type="dxa" w:w="32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Aurora</w:t>
            </w:r>
          </w:p>
        </w:tc>
      </w:tr>
      <w:tr>
        <w:trPr>
          <w:cantSplit/>
        </w:trPr>
        <w:tc>
          <w:tcPr>
            <w:tcW w:type="dxa" w:w="21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Finding</w:t>
            </w:r>
          </w:p>
        </w:tc>
        <w:tc>
          <w:tcPr>
            <w:tcW w:type="dxa" w:w="40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 normalized Security Agent or Continuum finding (pentest result, code/design review issue)</w:t>
            </w:r>
          </w:p>
        </w:tc>
        <w:tc>
          <w:tcPr>
            <w:tcW w:type="dxa" w:w="32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Aurora</w:t>
            </w:r>
          </w:p>
        </w:tc>
      </w:tr>
      <w:tr>
        <w:trPr>
          <w:cantSplit/>
        </w:trPr>
        <w:tc>
          <w:tcPr>
            <w:tcW w:type="dxa" w:w="21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RemediationAction</w:t>
            </w:r>
          </w:p>
        </w:tc>
        <w:tc>
          <w:tcPr>
            <w:tcW w:type="dxa" w:w="40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 proposed or executed Continuum fix, with learn/enforce state and approval history</w:t>
            </w:r>
          </w:p>
        </w:tc>
        <w:tc>
          <w:tcPr>
            <w:tcW w:type="dxa" w:w="32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Aurora + DynamoDB (state transitions)</w:t>
            </w:r>
          </w:p>
        </w:tc>
      </w:tr>
      <w:tr>
        <w:trPr>
          <w:cantSplit/>
        </w:trPr>
        <w:tc>
          <w:tcPr>
            <w:tcW w:type="dxa" w:w="21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ControlMapping</w:t>
            </w:r>
          </w:p>
        </w:tc>
        <w:tc>
          <w:tcPr>
            <w:tcW w:type="dxa" w:w="40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 Finding-to-control-ID link (e.g. SOC 2 CC7.1) with mapping confidence and reviewer status</w:t>
            </w:r>
          </w:p>
        </w:tc>
        <w:tc>
          <w:tcPr>
            <w:tcW w:type="dxa" w:w="32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Aurora</w:t>
            </w:r>
          </w:p>
        </w:tc>
      </w:tr>
      <w:tr>
        <w:trPr>
          <w:cantSplit/>
        </w:trPr>
        <w:tc>
          <w:tcPr>
            <w:tcW w:type="dxa" w:w="21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EvidencePackage</w:t>
            </w:r>
          </w:p>
        </w:tc>
        <w:tc>
          <w:tcPr>
            <w:tcW w:type="dxa" w:w="40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An immutable, point-in-time export of findings, mappings, and remediation proof for a framework and date range</w:t>
            </w:r>
          </w:p>
        </w:tc>
        <w:tc>
          <w:tcPr>
            <w:tcW w:type="dxa" w:w="32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S3 (Object Lock)</w:t>
            </w:r>
          </w:p>
        </w:tc>
      </w:tr>
      <w:tr>
        <w:trPr>
          <w:cantSplit/>
        </w:trPr>
        <w:tc>
          <w:tcPr>
            <w:tcW w:type="dxa" w:w="21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AuditEvent</w:t>
            </w:r>
          </w:p>
        </w:tc>
        <w:tc>
          <w:tcPr>
            <w:tcW w:type="dxa" w:w="40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An immutable record of every action taken on a client account, who approved it, and when</w:t>
            </w:r>
          </w:p>
        </w:tc>
        <w:tc>
          <w:tcPr>
            <w:tcW w:type="dxa" w:w="32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DynamoDB</w:t>
            </w:r>
          </w:p>
        </w:tc>
      </w:tr>
      <w:tr>
        <w:trPr>
          <w:cantSplit/>
        </w:trPr>
        <w:tc>
          <w:tcPr>
            <w:tcW w:type="dxa" w:w="21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SLA / UsageRecord</w:t>
            </w:r>
          </w:p>
        </w:tc>
        <w:tc>
          <w:tcPr>
            <w:tcW w:type="dxa" w:w="40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Per-tenant SLA targets, breach events, and billable usage units</w:t>
            </w:r>
          </w:p>
        </w:tc>
        <w:tc>
          <w:tcPr>
            <w:tcW w:type="dxa" w:w="32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Aurora</w:t>
            </w:r>
          </w:p>
        </w:tc>
      </w:tr>
    </w:tbl>
    <w:p>
      <w:pPr>
        <w:pStyle w:val="Heading2"/>
        <w:spacing w:after="140" w:before="300"/>
      </w:pPr>
      <w:r>
        <w:rPr>
          <w:rFonts w:ascii="Arial" w:cs="Arial" w:eastAsia="Arial" w:hAnsi="Arial"/>
          <w:b/>
          <w:bCs/>
          <w:color w:val="14213D"/>
          <w:sz w:val="27"/>
          <w:szCs w:val="27"/>
        </w:rPr>
        <w:t xml:space="preserve">5.2 Storage strategy</w:t>
      </w:r>
    </w:p>
    <w:p>
      <w:pPr>
        <w:spacing w:after="160" w:before="0" w:line="300"/>
      </w:pPr>
      <w:r>
        <w:rPr>
          <w:rFonts w:ascii="Arial" w:cs="Arial" w:eastAsia="Arial" w:hAnsi="Arial"/>
          <w:color w:val="1F2937"/>
          <w:sz w:val="22"/>
          <w:szCs w:val="22"/>
        </w:rPr>
        <w:t xml:space="preserve">Aurora holds the relational, queryable state that dashboards and the compliance engine read continuously — tenants, accounts, findings, and control mappings. DynamoDB is reserved for high-volume, append-only event and audit data, where write throughput and immutability matter more than relational query flexibility. S3 with Object Lock holds finished evidence packages exclusively — nothing is written there until it is ready to be handed to an auditor unmodified, which is the property regulated buyers are actually paying for.</w:t>
      </w:r>
    </w:p>
    <w:p>
      <w:pPr>
        <w:pStyle w:val="Heading1"/>
        <w:spacing w:after="200" w:before="420"/>
      </w:pPr>
      <w:r>
        <w:rPr>
          <w:rFonts w:ascii="Arial" w:cs="Arial" w:eastAsia="Arial" w:hAnsi="Arial"/>
          <w:b/>
          <w:bCs/>
          <w:color w:val="14213D"/>
          <w:sz w:val="36"/>
          <w:szCs w:val="36"/>
        </w:rPr>
        <w:t xml:space="preserve">6. Multi-Tenancy &amp; Cross-Account Orchestration</w:t>
      </w:r>
    </w:p>
    <w:p>
      <w:pPr>
        <w:pStyle w:val="Heading2"/>
        <w:spacing w:after="140" w:before="300"/>
      </w:pPr>
      <w:r>
        <w:rPr>
          <w:rFonts w:ascii="Arial" w:cs="Arial" w:eastAsia="Arial" w:hAnsi="Arial"/>
          <w:b/>
          <w:bCs/>
          <w:color w:val="14213D"/>
          <w:sz w:val="27"/>
          <w:szCs w:val="27"/>
        </w:rPr>
        <w:t xml:space="preserve">6.1 Tenant isolation model</w:t>
      </w:r>
    </w:p>
    <w:p>
      <w:pPr>
        <w:spacing w:after="160" w:before="0" w:line="300"/>
      </w:pPr>
      <w:r>
        <w:rPr>
          <w:rFonts w:ascii="Arial" w:cs="Arial" w:eastAsia="Arial" w:hAnsi="Arial"/>
          <w:color w:val="1F2937"/>
          <w:sz w:val="22"/>
          <w:szCs w:val="22"/>
        </w:rPr>
        <w:t xml:space="preserve">Tenant isolation is enforced at three layers: IAM (each tenant's client accounts are reachable only via a cross-account role scoped to that tenant, granted through AWS Organizations), data (every row in Aurora and DynamoDB is partitioned by tenant ID, with row-level access checks in the application layer), and evidence (each EvidencePackage is stored under a tenant-scoped S3 prefix with its own Object Lock retention policy). No tenant can query, view, or export another tenant's data under any operator action — this is treated as a security requirement, not a configuration default.</w:t>
      </w:r>
    </w:p>
    <w:p>
      <w:pPr>
        <w:pStyle w:val="Heading2"/>
        <w:spacing w:after="140" w:before="300"/>
      </w:pPr>
      <w:r>
        <w:rPr>
          <w:rFonts w:ascii="Arial" w:cs="Arial" w:eastAsia="Arial" w:hAnsi="Arial"/>
          <w:b/>
          <w:bCs/>
          <w:color w:val="14213D"/>
          <w:sz w:val="27"/>
          <w:szCs w:val="27"/>
        </w:rPr>
        <w:t xml:space="preserve">6.2 Cross-account orchestration</w:t>
      </w:r>
    </w:p>
    <w:p>
      <w:pPr>
        <w:spacing w:after="160" w:before="0" w:line="300"/>
      </w:pPr>
      <w:r>
        <w:rPr>
          <w:rFonts w:ascii="Arial" w:cs="Arial" w:eastAsia="Arial" w:hAnsi="Arial"/>
          <w:color w:val="1F2937"/>
          <w:sz w:val="22"/>
          <w:szCs w:val="22"/>
        </w:rPr>
        <w:t xml:space="preserve">An MSSP operator's Veriguard session never holds direct credentials to a client account. Each orchestration action — triggering a Security Agent scan, reading Continuum findings, approving a remediation — assumes a short-lived, scoped IAM role via AWS Organizations for the duration of that single operation, then releases it. This mirrors how Security Agent's own Agent Spaces model cross-account access, so Veriguard adds an orchestration layer without adding a new trust model for clients to evaluate.</w:t>
      </w:r>
    </w:p>
    <w:p>
      <w:pPr>
        <w:pStyle w:val="Heading2"/>
        <w:spacing w:after="140" w:before="300"/>
      </w:pPr>
      <w:r>
        <w:rPr>
          <w:rFonts w:ascii="Arial" w:cs="Arial" w:eastAsia="Arial" w:hAnsi="Arial"/>
          <w:b/>
          <w:bCs/>
          <w:color w:val="14213D"/>
          <w:sz w:val="27"/>
          <w:szCs w:val="27"/>
        </w:rPr>
        <w:t xml:space="preserve">6.3 SLA tracking and usage billing</w:t>
      </w:r>
    </w:p>
    <w:p>
      <w:pPr>
        <w:spacing w:after="160" w:before="0" w:line="300"/>
      </w:pPr>
      <w:r>
        <w:rPr>
          <w:rFonts w:ascii="Arial" w:cs="Arial" w:eastAsia="Arial" w:hAnsi="Arial"/>
          <w:color w:val="1F2937"/>
          <w:sz w:val="22"/>
          <w:szCs w:val="22"/>
        </w:rPr>
        <w:t xml:space="preserve">Each tenant contract defines SLA targets (for example, time-to-detect and time-to-remediate by severity). Veriguard computes these continuously from AuditEvent timestamps and raises breach alerts to the MSSP operator before the client notices. Usage — scans run, accounts under management, evidence packages generated — is recorded as UsageRecord entries and reported to the AWS Marketplace metering API for consumption-based billing, with white-label reporting available so MSSPs can present this usage to their own clients under their own brand.</w:t>
      </w:r>
    </w:p>
    <w:p>
      <w:pPr>
        <w:pStyle w:val="Heading1"/>
        <w:spacing w:after="200" w:before="420"/>
      </w:pPr>
      <w:r>
        <w:rPr>
          <w:rFonts w:ascii="Arial" w:cs="Arial" w:eastAsia="Arial" w:hAnsi="Arial"/>
          <w:b/>
          <w:bCs/>
          <w:color w:val="14213D"/>
          <w:sz w:val="36"/>
          <w:szCs w:val="36"/>
        </w:rPr>
        <w:t xml:space="preserve">7. Compliance Mapping Engine (Comply Module)</w:t>
      </w:r>
    </w:p>
    <w:p>
      <w:pPr>
        <w:pStyle w:val="Heading2"/>
        <w:spacing w:after="140" w:before="300"/>
      </w:pPr>
      <w:r>
        <w:rPr>
          <w:rFonts w:ascii="Arial" w:cs="Arial" w:eastAsia="Arial" w:hAnsi="Arial"/>
          <w:b/>
          <w:bCs/>
          <w:color w:val="14213D"/>
          <w:sz w:val="27"/>
          <w:szCs w:val="27"/>
        </w:rPr>
        <w:t xml:space="preserve">7.1 Supported frameworks</w:t>
      </w:r>
    </w:p>
    <w:p>
      <w:pPr>
        <w:spacing w:after="160" w:before="0" w:line="300"/>
      </w:pPr>
      <w:r>
        <w:rPr>
          <w:rFonts w:ascii="Arial" w:cs="Arial" w:eastAsia="Arial" w:hAnsi="Arial"/>
          <w:color w:val="1F2937"/>
          <w:sz w:val="22"/>
          <w:szCs w:val="22"/>
        </w:rPr>
        <w:t xml:space="preserve">Initial framework support targets SOC 2 and PCI-DSS at MVP, with HIPAA and FedRAMP added in subsequent phases (see Section 11, Build Roadmap). Each framework is modeled as a versioned control catalog — control ID, control description, and the finding types that satisfy or violate it — so new frameworks can be added without changing the mapping engine itself.</w:t>
      </w:r>
    </w:p>
    <w:p>
      <w:pPr>
        <w:pStyle w:val="Heading2"/>
        <w:spacing w:after="140" w:before="300"/>
      </w:pPr>
      <w:r>
        <w:rPr>
          <w:rFonts w:ascii="Arial" w:cs="Arial" w:eastAsia="Arial" w:hAnsi="Arial"/>
          <w:b/>
          <w:bCs/>
          <w:color w:val="14213D"/>
          <w:sz w:val="27"/>
          <w:szCs w:val="27"/>
        </w:rPr>
        <w:t xml:space="preserve">7.2 Mapping approach</w:t>
      </w:r>
    </w:p>
    <w:p>
      <w:pPr>
        <w:spacing w:after="160" w:before="0" w:line="300"/>
      </w:pPr>
      <w:r>
        <w:rPr>
          <w:rFonts w:ascii="Arial" w:cs="Arial" w:eastAsia="Arial" w:hAnsi="Arial"/>
          <w:color w:val="1F2937"/>
          <w:sz w:val="22"/>
          <w:szCs w:val="22"/>
        </w:rPr>
        <w:t xml:space="preserve">When a normalized Finding or RemediationAction is written, the compliance engine calls Bedrock with the finding context and the tenant's selected control catalogs to propose one or more ControlMapping candidates with a confidence score. High-confidence mappings are surfaced for lightweight reviewer confirmation; low-confidence mappings are routed for full human review before being marked as satisfying a control. This mirrors Continuum's own learn-mode philosophy: AI proposes, a human with accountability confirms, and the system only acts unsupervised once that trust has been earned and configured per tenant.</w:t>
      </w:r>
    </w:p>
    <w:p>
      <w:pPr>
        <w:pStyle w:val="Heading2"/>
        <w:spacing w:after="140" w:before="300"/>
      </w:pPr>
      <w:r>
        <w:rPr>
          <w:rFonts w:ascii="Arial" w:cs="Arial" w:eastAsia="Arial" w:hAnsi="Arial"/>
          <w:b/>
          <w:bCs/>
          <w:color w:val="14213D"/>
          <w:sz w:val="27"/>
          <w:szCs w:val="27"/>
        </w:rPr>
        <w:t xml:space="preserve">7.3 Evidence packages</w:t>
      </w:r>
    </w:p>
    <w:p>
      <w:pPr>
        <w:spacing w:after="160" w:before="0" w:line="300"/>
      </w:pPr>
      <w:r>
        <w:rPr>
          <w:rFonts w:ascii="Arial" w:cs="Arial" w:eastAsia="Arial" w:hAnsi="Arial"/>
          <w:color w:val="1F2937"/>
          <w:sz w:val="22"/>
          <w:szCs w:val="22"/>
        </w:rPr>
        <w:t xml:space="preserve">An EvidencePackage is a point-in-time, immutable export — findings, their control mappings, remediation proof, and reviewer sign-off — for a given framework and date range. Packages are written once to S3 with Object Lock and cannot be altered or deleted by anyone, including Veriguard's own operators, until the retention policy expires. This is the structural answer to the manual screenshot-and-spreadsheet problem: the package is generated, not assembled by hand, and its immutability is itself evidence of integrity to an auditor.</w:t>
      </w:r>
    </w:p>
    <w:p>
      <w:pPr>
        <w:pStyle w:val="Heading2"/>
        <w:spacing w:after="140" w:before="300"/>
      </w:pPr>
      <w:r>
        <w:rPr>
          <w:rFonts w:ascii="Arial" w:cs="Arial" w:eastAsia="Arial" w:hAnsi="Arial"/>
          <w:b/>
          <w:bCs/>
          <w:color w:val="14213D"/>
          <w:sz w:val="27"/>
          <w:szCs w:val="27"/>
        </w:rPr>
        <w:t xml:space="preserve">7.4 Posture drift tracking</w:t>
      </w:r>
    </w:p>
    <w:p>
      <w:pPr>
        <w:spacing w:after="160" w:before="0" w:line="300"/>
      </w:pPr>
      <w:r>
        <w:rPr>
          <w:rFonts w:ascii="Arial" w:cs="Arial" w:eastAsia="Arial" w:hAnsi="Arial"/>
          <w:color w:val="1F2937"/>
          <w:sz w:val="22"/>
          <w:szCs w:val="22"/>
        </w:rPr>
        <w:t xml:space="preserve">Comply continuously re-evaluates whether previously satisfied controls remain satisfied as new findings arrive. A control marked compliant last quarter that now has an unresolved high-severity finding mapped to it is flagged as drifted immediately, with the affected tenant notified — turning compliance from a point-in-time audit exercise into a continuously monitored state.</w:t>
      </w:r>
    </w:p>
    <w:p>
      <w:pPr>
        <w:pStyle w:val="Heading1"/>
        <w:spacing w:after="200" w:before="420"/>
      </w:pPr>
      <w:r>
        <w:rPr>
          <w:rFonts w:ascii="Arial" w:cs="Arial" w:eastAsia="Arial" w:hAnsi="Arial"/>
          <w:b/>
          <w:bCs/>
          <w:color w:val="14213D"/>
          <w:sz w:val="36"/>
          <w:szCs w:val="36"/>
        </w:rPr>
        <w:t xml:space="preserve">8. Security, Governance &amp; Trust</w:t>
      </w:r>
    </w:p>
    <w:p>
      <w:pPr>
        <w:spacing w:after="160" w:before="0" w:line="300"/>
      </w:pPr>
      <w:r>
        <w:rPr>
          <w:rFonts w:ascii="Arial" w:cs="Arial" w:eastAsia="Arial" w:hAnsi="Arial"/>
          <w:color w:val="1F2937"/>
          <w:sz w:val="22"/>
          <w:szCs w:val="22"/>
        </w:rPr>
        <w:t xml:space="preserve">Veriguard sells trust as much as it sells automation — a multi-tenant security product that does not hold itself to its own bar is not credible to either buyer. Four commitments anchor this:</w:t>
      </w:r>
    </w:p>
    <w:p>
      <w:pPr>
        <w:pStyle w:val="ListParagraph"/>
        <w:numPr>
          <w:ilvl w:val="0"/>
          <w:numId w:val="2"/>
        </w:numPr>
        <w:spacing w:after="100" w:line="280"/>
      </w:pPr>
      <w:r>
        <w:rPr>
          <w:rFonts w:ascii="Arial" w:cs="Arial" w:eastAsia="Arial" w:hAnsi="Arial"/>
          <w:b/>
          <w:bCs/>
          <w:color w:val="1F2937"/>
          <w:sz w:val="22"/>
          <w:szCs w:val="22"/>
        </w:rPr>
        <w:t xml:space="preserve">Human-in-the-loop remediation. </w:t>
      </w:r>
      <w:r>
        <w:rPr>
          <w:rFonts w:ascii="Arial" w:cs="Arial" w:eastAsia="Arial" w:hAnsi="Arial"/>
          <w:color w:val="1F2937"/>
          <w:sz w:val="22"/>
          <w:szCs w:val="22"/>
        </w:rPr>
        <w:t xml:space="preserve">Every Continuum auto-remediation requires explicit approval before moving from learn mode to enforce mode, governed by a per-tenant risk policy.</w:t>
      </w:r>
    </w:p>
    <w:p>
      <w:pPr>
        <w:pStyle w:val="ListParagraph"/>
        <w:numPr>
          <w:ilvl w:val="0"/>
          <w:numId w:val="2"/>
        </w:numPr>
        <w:spacing w:after="100" w:line="280"/>
      </w:pPr>
      <w:r>
        <w:rPr>
          <w:rFonts w:ascii="Arial" w:cs="Arial" w:eastAsia="Arial" w:hAnsi="Arial"/>
          <w:b/>
          <w:bCs/>
          <w:color w:val="1F2937"/>
          <w:sz w:val="22"/>
          <w:szCs w:val="22"/>
        </w:rPr>
        <w:t xml:space="preserve">Full audit trail. </w:t>
      </w:r>
      <w:r>
        <w:rPr>
          <w:rFonts w:ascii="Arial" w:cs="Arial" w:eastAsia="Arial" w:hAnsi="Arial"/>
          <w:color w:val="1F2937"/>
          <w:sz w:val="22"/>
          <w:szCs w:val="22"/>
        </w:rPr>
        <w:t xml:space="preserve">CloudTrail captures every action Veriguard takes on a client account — who approved what, and when — feeding directly into the AuditEvent store used for both SLA tracking and compliance evidence.</w:t>
      </w:r>
    </w:p>
    <w:p>
      <w:pPr>
        <w:pStyle w:val="ListParagraph"/>
        <w:numPr>
          <w:ilvl w:val="0"/>
          <w:numId w:val="2"/>
        </w:numPr>
        <w:spacing w:after="100" w:line="280"/>
      </w:pPr>
      <w:r>
        <w:rPr>
          <w:rFonts w:ascii="Arial" w:cs="Arial" w:eastAsia="Arial" w:hAnsi="Arial"/>
          <w:b/>
          <w:bCs/>
          <w:color w:val="1F2937"/>
          <w:sz w:val="22"/>
          <w:szCs w:val="22"/>
        </w:rPr>
        <w:t xml:space="preserve">Tenant isolation. </w:t>
      </w:r>
      <w:r>
        <w:rPr>
          <w:rFonts w:ascii="Arial" w:cs="Arial" w:eastAsia="Arial" w:hAnsi="Arial"/>
          <w:color w:val="1F2937"/>
          <w:sz w:val="22"/>
          <w:szCs w:val="22"/>
        </w:rPr>
        <w:t xml:space="preserve">Least-privilege, cross-account IAM scoped per tenant, with no code path that allows cross-tenant data access (Section 6.1).</w:t>
      </w:r>
    </w:p>
    <w:p>
      <w:pPr>
        <w:pStyle w:val="ListParagraph"/>
        <w:numPr>
          <w:ilvl w:val="0"/>
          <w:numId w:val="2"/>
        </w:numPr>
        <w:spacing w:after="100" w:line="280"/>
      </w:pPr>
      <w:r>
        <w:rPr>
          <w:rFonts w:ascii="Arial" w:cs="Arial" w:eastAsia="Arial" w:hAnsi="Arial"/>
          <w:b/>
          <w:bCs/>
          <w:color w:val="1F2937"/>
          <w:sz w:val="22"/>
          <w:szCs w:val="22"/>
        </w:rPr>
        <w:t xml:space="preserve">Encryption everywhere. </w:t>
      </w:r>
      <w:r>
        <w:rPr>
          <w:rFonts w:ascii="Arial" w:cs="Arial" w:eastAsia="Arial" w:hAnsi="Arial"/>
          <w:color w:val="1F2937"/>
          <w:sz w:val="22"/>
          <w:szCs w:val="22"/>
        </w:rPr>
        <w:t xml:space="preserve">KMS-backed encryption at rest and in transit across Aurora, DynamoDB, and S3 evidence storage.</w:t>
      </w:r>
    </w:p>
    <w:p>
      <w:pPr>
        <w:spacing w:after="160" w:before="0" w:line="300"/>
      </w:pPr>
      <w:r>
        <w:rPr>
          <w:rFonts w:ascii="Arial" w:cs="Arial" w:eastAsia="Arial" w:hAnsi="Arial"/>
          <w:color w:val="1F2937"/>
          <w:sz w:val="22"/>
          <w:szCs w:val="22"/>
        </w:rPr>
        <w:t xml:space="preserve">CloudTrail, KMS, and least-privilege IAM are not add-ons here — they are how Veriguard earns the right to touch production AWS accounts at all, and they are deliverables for Phase 0–1 of the roadmap, not later hardening work.</w:t>
      </w:r>
    </w:p>
    <w:p>
      <w:pPr>
        <w:pStyle w:val="Heading1"/>
        <w:spacing w:after="200" w:before="420"/>
      </w:pPr>
      <w:r>
        <w:rPr>
          <w:rFonts w:ascii="Arial" w:cs="Arial" w:eastAsia="Arial" w:hAnsi="Arial"/>
          <w:b/>
          <w:bCs/>
          <w:color w:val="14213D"/>
          <w:sz w:val="36"/>
          <w:szCs w:val="36"/>
        </w:rPr>
        <w:t xml:space="preserve">9. Integrations &amp; Experience Layer</w:t>
      </w:r>
    </w:p>
    <w:p>
      <w:pPr>
        <w:pStyle w:val="Heading2"/>
        <w:spacing w:after="140" w:before="300"/>
      </w:pPr>
      <w:r>
        <w:rPr>
          <w:rFonts w:ascii="Arial" w:cs="Arial" w:eastAsia="Arial" w:hAnsi="Arial"/>
          <w:b/>
          <w:bCs/>
          <w:color w:val="14213D"/>
          <w:sz w:val="27"/>
          <w:szCs w:val="27"/>
        </w:rPr>
        <w:t xml:space="preserve">9.1 Dashboards</w:t>
      </w:r>
    </w:p>
    <w:p>
      <w:pPr>
        <w:spacing w:after="160" w:before="0" w:line="300"/>
      </w:pPr>
      <w:r>
        <w:rPr>
          <w:rFonts w:ascii="Arial" w:cs="Arial" w:eastAsia="Arial" w:hAnsi="Arial"/>
          <w:color w:val="1F2937"/>
          <w:sz w:val="22"/>
          <w:szCs w:val="22"/>
        </w:rPr>
        <w:t xml:space="preserve">Two dashboard experiences share the same underlying data: an MSSP operator view (cross-tenant, operational, SLA- and billing-oriented) and a Comply view (single-tenant, framework- and control-oriented, audit-trail focused). Both are built on the same API surface so adding a third buyer-facing view later does not require new backend work.</w:t>
      </w:r>
    </w:p>
    <w:p>
      <w:pPr>
        <w:pStyle w:val="Heading2"/>
        <w:spacing w:after="140" w:before="300"/>
      </w:pPr>
      <w:r>
        <w:rPr>
          <w:rFonts w:ascii="Arial" w:cs="Arial" w:eastAsia="Arial" w:hAnsi="Arial"/>
          <w:b/>
          <w:bCs/>
          <w:color w:val="14213D"/>
          <w:sz w:val="27"/>
          <w:szCs w:val="27"/>
        </w:rPr>
        <w:t xml:space="preserve">9.2 AWS Marketplace metering</w:t>
      </w:r>
    </w:p>
    <w:p>
      <w:pPr>
        <w:spacing w:after="160" w:before="0" w:line="300"/>
      </w:pPr>
      <w:r>
        <w:rPr>
          <w:rFonts w:ascii="Arial" w:cs="Arial" w:eastAsia="Arial" w:hAnsi="Arial"/>
          <w:color w:val="1F2937"/>
          <w:sz w:val="22"/>
          <w:szCs w:val="22"/>
        </w:rPr>
        <w:t xml:space="preserve">Usage events (Section 6.3) are reported to the AWS Marketplace metering API, enabling consumption-based pricing and putting Veriguard on the procurement path AWS account teams and ISV partners already use to co-sell.</w:t>
      </w:r>
    </w:p>
    <w:p>
      <w:pPr>
        <w:pStyle w:val="Heading2"/>
        <w:spacing w:after="140" w:before="300"/>
      </w:pPr>
      <w:r>
        <w:rPr>
          <w:rFonts w:ascii="Arial" w:cs="Arial" w:eastAsia="Arial" w:hAnsi="Arial"/>
          <w:b/>
          <w:bCs/>
          <w:color w:val="14213D"/>
          <w:sz w:val="27"/>
          <w:szCs w:val="27"/>
        </w:rPr>
        <w:t xml:space="preserve">9.3 Workflow integrations</w:t>
      </w:r>
    </w:p>
    <w:p>
      <w:pPr>
        <w:pStyle w:val="ListParagraph"/>
        <w:numPr>
          <w:ilvl w:val="0"/>
          <w:numId w:val="2"/>
        </w:numPr>
        <w:spacing w:after="100" w:line="280"/>
      </w:pPr>
      <w:r>
        <w:rPr>
          <w:rFonts w:ascii="Arial" w:cs="Arial" w:eastAsia="Arial" w:hAnsi="Arial"/>
          <w:color w:val="1F2937"/>
          <w:sz w:val="22"/>
          <w:szCs w:val="22"/>
        </w:rPr>
        <w:t xml:space="preserve">Jira / ServiceNow — remediation approvals and control-mapping review tasks can be pushed into a tenant's existing ticketing system rather than requiring operators to live inside Veriguard.</w:t>
      </w:r>
    </w:p>
    <w:p>
      <w:pPr>
        <w:pStyle w:val="ListParagraph"/>
        <w:numPr>
          <w:ilvl w:val="0"/>
          <w:numId w:val="2"/>
        </w:numPr>
        <w:spacing w:after="100" w:line="280"/>
      </w:pPr>
      <w:r>
        <w:rPr>
          <w:rFonts w:ascii="Arial" w:cs="Arial" w:eastAsia="Arial" w:hAnsi="Arial"/>
          <w:color w:val="1F2937"/>
          <w:sz w:val="22"/>
          <w:szCs w:val="22"/>
        </w:rPr>
        <w:t xml:space="preserve">Slack — SLA breach alerts and posture-drift notifications delivered where security and compliance teams already work.</w:t>
      </w:r>
    </w:p>
    <w:p>
      <w:pPr>
        <w:pStyle w:val="Heading1"/>
        <w:spacing w:after="200" w:before="420"/>
      </w:pPr>
      <w:r>
        <w:rPr>
          <w:rFonts w:ascii="Arial" w:cs="Arial" w:eastAsia="Arial" w:hAnsi="Arial"/>
          <w:b/>
          <w:bCs/>
          <w:color w:val="14213D"/>
          <w:sz w:val="36"/>
          <w:szCs w:val="36"/>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cantSplit/>
          <w:tblHeader/>
        </w:trPr>
        <w:tc>
          <w:tcPr>
            <w:tcW w:type="dxa" w:w="27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Dimension</w:t>
            </w:r>
          </w:p>
        </w:tc>
        <w:tc>
          <w:tcPr>
            <w:tcW w:type="dxa" w:w="23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Target</w:t>
            </w:r>
          </w:p>
        </w:tc>
        <w:tc>
          <w:tcPr>
            <w:tcW w:type="dxa" w:w="436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Notes</w:t>
            </w:r>
          </w:p>
        </w:tc>
      </w:tr>
      <w:tr>
        <w:trPr>
          <w:cantSplit/>
        </w:trPr>
        <w:tc>
          <w:tcPr>
            <w:tcW w:type="dxa" w:w="27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Availability</w:t>
            </w:r>
          </w:p>
        </w:tc>
        <w:tc>
          <w:tcPr>
            <w:tcW w:type="dxa" w:w="23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99.9% for dashboards and API</w:t>
            </w:r>
          </w:p>
        </w:tc>
        <w:tc>
          <w:tcPr>
            <w:tcW w:type="dxa" w:w="43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Ingestion pipeline is durable (SQS-backed) even during downstream maintenance</w:t>
            </w:r>
          </w:p>
        </w:tc>
      </w:tr>
      <w:tr>
        <w:trPr>
          <w:cantSplit/>
        </w:trPr>
        <w:tc>
          <w:tcPr>
            <w:tcW w:type="dxa" w:w="27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Finding-to-visibility latency</w:t>
            </w:r>
          </w:p>
        </w:tc>
        <w:tc>
          <w:tcPr>
            <w:tcW w:type="dxa" w:w="23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&lt; 5 minutes, p95</w:t>
            </w:r>
          </w:p>
        </w:tc>
        <w:tc>
          <w:tcPr>
            <w:tcW w:type="dxa" w:w="43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From Security Agent / Continuum event to tenant dashboard visibility</w:t>
            </w:r>
          </w:p>
        </w:tc>
      </w:tr>
      <w:tr>
        <w:trPr>
          <w:cantSplit/>
        </w:trPr>
        <w:tc>
          <w:tcPr>
            <w:tcW w:type="dxa" w:w="27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Tenant scale (Phase 2 GA target)</w:t>
            </w:r>
          </w:p>
        </w:tc>
        <w:tc>
          <w:tcPr>
            <w:tcW w:type="dxa" w:w="23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100+ tenants, 1,000+ client accounts</w:t>
            </w:r>
          </w:p>
        </w:tc>
        <w:tc>
          <w:tcPr>
            <w:tcW w:type="dxa" w:w="43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Validated via load testing before multi-tenant GA (Section 11)</w:t>
            </w:r>
          </w:p>
        </w:tc>
      </w:tr>
      <w:tr>
        <w:trPr>
          <w:cantSplit/>
        </w:trPr>
        <w:tc>
          <w:tcPr>
            <w:tcW w:type="dxa" w:w="27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Evidence package generation</w:t>
            </w:r>
          </w:p>
        </w:tc>
        <w:tc>
          <w:tcPr>
            <w:tcW w:type="dxa" w:w="23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&lt; 10 minutes for a quarterly package</w:t>
            </w:r>
          </w:p>
        </w:tc>
        <w:tc>
          <w:tcPr>
            <w:tcW w:type="dxa" w:w="43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On-demand or scheduled generation</w:t>
            </w:r>
          </w:p>
        </w:tc>
      </w:tr>
      <w:tr>
        <w:trPr>
          <w:cantSplit/>
        </w:trPr>
        <w:tc>
          <w:tcPr>
            <w:tcW w:type="dxa" w:w="27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Data residency</w:t>
            </w:r>
          </w:p>
        </w:tc>
        <w:tc>
          <w:tcPr>
            <w:tcW w:type="dxa" w:w="23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Configurable per tenant region</w:t>
            </w:r>
          </w:p>
        </w:tc>
        <w:tc>
          <w:tcPr>
            <w:tcW w:type="dxa" w:w="43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Required for HIPAA / FedRAMP tenants (Phase 3)</w:t>
            </w:r>
          </w:p>
        </w:tc>
      </w:tr>
      <w:tr>
        <w:trPr>
          <w:cantSplit/>
        </w:trPr>
        <w:tc>
          <w:tcPr>
            <w:tcW w:type="dxa" w:w="27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Platform's own compliance posture</w:t>
            </w:r>
          </w:p>
        </w:tc>
        <w:tc>
          <w:tcPr>
            <w:tcW w:type="dxa" w:w="23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SOC 2 Type II by end of Phase 1</w:t>
            </w:r>
          </w:p>
        </w:tc>
        <w:tc>
          <w:tcPr>
            <w:tcW w:type="dxa" w:w="43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Veriguard must meet the bar it sells (Section 8)</w:t>
            </w:r>
          </w:p>
        </w:tc>
      </w:tr>
    </w:tbl>
    <w:p>
      <w:pPr>
        <w:pStyle w:val="Heading1"/>
        <w:spacing w:after="200" w:before="420"/>
      </w:pPr>
      <w:r>
        <w:rPr>
          <w:rFonts w:ascii="Arial" w:cs="Arial" w:eastAsia="Arial" w:hAnsi="Arial"/>
          <w:b/>
          <w:bCs/>
          <w:color w:val="14213D"/>
          <w:sz w:val="36"/>
          <w:szCs w:val="36"/>
        </w:rPr>
        <w:t xml:space="preserve">11. Build Roadmap</w:t>
      </w:r>
    </w:p>
    <w:p>
      <w:pPr>
        <w:spacing w:after="160" w:before="0" w:line="300"/>
      </w:pPr>
      <w:r>
        <w:rPr>
          <w:rFonts w:ascii="Arial" w:cs="Arial" w:eastAsia="Arial" w:hAnsi="Arial"/>
          <w:color w:val="1F2937"/>
          <w:sz w:val="22"/>
          <w:szCs w:val="22"/>
        </w:rPr>
        <w:t xml:space="preserve">The roadmap is phased to de-risk the Continuum dependency: Phase 1 ships value on AWS Security Agent alone (GA today), while Continuum's remediation tie-in and gated-preview access are layered in starting Phase 1 and load-bearing by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750"/>
        <w:gridCol w:w="3060"/>
        <w:gridCol w:w="3100"/>
      </w:tblGrid>
      <w:tr>
        <w:trPr>
          <w:cantSplit/>
          <w:tblHeader/>
        </w:trPr>
        <w:tc>
          <w:tcPr>
            <w:tcW w:type="dxa" w:w="145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Phase</w:t>
            </w:r>
          </w:p>
        </w:tc>
        <w:tc>
          <w:tcPr>
            <w:tcW w:type="dxa" w:w="175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Timeline</w:t>
            </w:r>
          </w:p>
        </w:tc>
        <w:tc>
          <w:tcPr>
            <w:tcW w:type="dxa" w:w="306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Goals</w:t>
            </w:r>
          </w:p>
        </w:tc>
        <w:tc>
          <w:tcPr>
            <w:tcW w:type="dxa" w:w="31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Exit criteria</w:t>
            </w:r>
          </w:p>
        </w:tc>
      </w:tr>
      <w:tr>
        <w:trPr>
          <w:cantSplit/>
        </w:trPr>
        <w:tc>
          <w:tcPr>
            <w:tcW w:type="dxa" w:w="145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Phase 0</w:t>
            </w:r>
          </w:p>
        </w:tc>
        <w:tc>
          <w:tcPr>
            <w:tcW w:type="dxa" w:w="175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Mo 0–2</w:t>
            </w:r>
          </w:p>
        </w:tc>
        <w:tc>
          <w:tcPr>
            <w:tcW w:type="dxa" w:w="30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Design partner discovery; finalize tenant data model and IAM cross-account pattern</w:t>
            </w:r>
          </w:p>
        </w:tc>
        <w:tc>
          <w:tcPr>
            <w:tcW w:type="dxa" w:w="31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1–2 signed design partners (MSSP and/or regulated enterprise); architecture validated against their real account structure</w:t>
            </w:r>
          </w:p>
        </w:tc>
      </w:tr>
      <w:tr>
        <w:trPr>
          <w:cantSplit/>
        </w:trPr>
        <w:tc>
          <w:tcPr>
            <w:tcW w:type="dxa" w:w="145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Phase 1</w:t>
            </w:r>
          </w:p>
        </w:tc>
        <w:tc>
          <w:tcPr>
            <w:tcW w:type="dxa" w:w="175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Mo 2–5</w:t>
            </w:r>
          </w:p>
        </w:tc>
        <w:tc>
          <w:tcPr>
            <w:tcW w:type="dxa" w:w="30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MVP: MSSP Console on Security Agent; SOC 2 control mapping in Comply; platform's own SOC 2 Type II underway</w:t>
            </w:r>
          </w:p>
        </w:tc>
        <w:tc>
          <w:tcPr>
            <w:tcW w:type="dxa" w:w="31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Design partner piloting live scans across 2+ client accounts; first auto-generated evidence package produced</w:t>
            </w:r>
          </w:p>
        </w:tc>
      </w:tr>
      <w:tr>
        <w:trPr>
          <w:cantSplit/>
        </w:trPr>
        <w:tc>
          <w:tcPr>
            <w:tcW w:type="dxa" w:w="145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Phase 2</w:t>
            </w:r>
          </w:p>
        </w:tc>
        <w:tc>
          <w:tcPr>
            <w:tcW w:type="dxa" w:w="175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Mo 5–9</w:t>
            </w:r>
          </w:p>
        </w:tc>
        <w:tc>
          <w:tcPr>
            <w:tcW w:type="dxa" w:w="30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Multi-tenant GA; Continuum remediation governance (learn/enforce); PCI-DSS support</w:t>
            </w:r>
          </w:p>
        </w:tc>
        <w:tc>
          <w:tcPr>
            <w:tcW w:type="dxa" w:w="31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100+ tenant load test passed; SLA tracking and usage billing live; Continuum integration validated with design partner</w:t>
            </w:r>
          </w:p>
        </w:tc>
      </w:tr>
      <w:tr>
        <w:trPr>
          <w:cantSplit/>
        </w:trPr>
        <w:tc>
          <w:tcPr>
            <w:tcW w:type="dxa" w:w="145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Phase 3</w:t>
            </w:r>
          </w:p>
        </w:tc>
        <w:tc>
          <w:tcPr>
            <w:tcW w:type="dxa" w:w="175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Mo 9–14</w:t>
            </w:r>
          </w:p>
        </w:tc>
        <w:tc>
          <w:tcPr>
            <w:tcW w:type="dxa" w:w="30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 Marketplace listing; HIPAA and FedRAMP control catalogs; data residency controls</w:t>
            </w:r>
          </w:p>
        </w:tc>
        <w:tc>
          <w:tcPr>
            <w:tcW w:type="dxa" w:w="31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Marketplace transactable listing live; first HIPAA/FedRAMP evidence package generated for a real tenant</w:t>
            </w:r>
          </w:p>
        </w:tc>
      </w:tr>
      <w:tr>
        <w:trPr>
          <w:cantSplit/>
        </w:trPr>
        <w:tc>
          <w:tcPr>
            <w:tcW w:type="dxa" w:w="145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Phase 4</w:t>
            </w:r>
          </w:p>
        </w:tc>
        <w:tc>
          <w:tcPr>
            <w:tcW w:type="dxa" w:w="175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Mo 14+</w:t>
            </w:r>
          </w:p>
        </w:tc>
        <w:tc>
          <w:tcPr>
            <w:tcW w:type="dxa" w:w="30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Cross-cloud expansion, AI-driven risk quantification, ISO 27001 catalog</w:t>
            </w:r>
          </w:p>
        </w:tc>
        <w:tc>
          <w:tcPr>
            <w:tcW w:type="dxa" w:w="31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Roadmap re-scoped based on Phase 1–3 customer evidence</w:t>
            </w:r>
          </w:p>
        </w:tc>
      </w:tr>
    </w:tbl>
    <w:p>
      <w:pPr>
        <w:pStyle w:val="Heading1"/>
        <w:spacing w:after="200" w:before="420"/>
      </w:pPr>
      <w:r>
        <w:rPr>
          <w:rFonts w:ascii="Arial" w:cs="Arial" w:eastAsia="Arial" w:hAnsi="Arial"/>
          <w:b/>
          <w:bCs/>
          <w:color w:val="14213D"/>
          <w:sz w:val="36"/>
          <w:szCs w:val="36"/>
        </w:rPr>
        <w:t xml:space="preserve">12. Risks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cantSplit/>
          <w:tblHeader/>
        </w:trPr>
        <w:tc>
          <w:tcPr>
            <w:tcW w:type="dxa" w:w="25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Risk / dependency</w:t>
            </w:r>
          </w:p>
        </w:tc>
        <w:tc>
          <w:tcPr>
            <w:tcW w:type="dxa" w:w="32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Why it matters</w:t>
            </w:r>
          </w:p>
        </w:tc>
        <w:tc>
          <w:tcPr>
            <w:tcW w:type="dxa" w:w="366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Mitigation</w:t>
            </w:r>
          </w:p>
        </w:tc>
      </w:tr>
      <w:tr>
        <w:trPr>
          <w:cantSplit/>
        </w:trPr>
        <w:tc>
          <w:tcPr>
            <w:tcW w:type="dxa" w:w="25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 Continuum is gated preview</w:t>
            </w:r>
          </w:p>
        </w:tc>
        <w:tc>
          <w:tcPr>
            <w:tcW w:type="dxa" w:w="32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Comply's remediation tie-in depends on partner/API access AWS has not yet opened broadly (as of mid-2026)</w:t>
            </w:r>
          </w:p>
        </w:tc>
        <w:tc>
          <w:tcPr>
            <w:tcW w:type="dxa" w:w="36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Sequence roadmap so Phase 1 ships value on GA Security Agent alone; pursue design-partner access in parallel</w:t>
            </w:r>
          </w:p>
        </w:tc>
      </w:tr>
      <w:tr>
        <w:trPr>
          <w:cantSplit/>
        </w:trPr>
        <w:tc>
          <w:tcPr>
            <w:tcW w:type="dxa" w:w="25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Security Agent de-risks Module 1 now</w:t>
            </w:r>
          </w:p>
        </w:tc>
        <w:tc>
          <w:tcPr>
            <w:tcW w:type="dxa" w:w="32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GA status with full API/SDK and GitHub Enterprise integration means the MSSP Console has no AWS-side blocker</w:t>
            </w:r>
          </w:p>
        </w:tc>
        <w:tc>
          <w:tcPr>
            <w:tcW w:type="dxa" w:w="36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Build and pilot the MSSP Console immediately; treat this as the lowest-risk path to first revenue</w:t>
            </w:r>
          </w:p>
        </w:tc>
      </w:tr>
      <w:tr>
        <w:trPr>
          <w:cantSplit/>
        </w:trPr>
        <w:tc>
          <w:tcPr>
            <w:tcW w:type="dxa" w:w="25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Tenant isolation must be enterprise-grade from day one</w:t>
            </w:r>
          </w:p>
        </w:tc>
        <w:tc>
          <w:tcPr>
            <w:tcW w:type="dxa" w:w="32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 multi-tenant security product that fails its own security bar is a non-starter — this cannot be a Phase 2 retrofit</w:t>
            </w:r>
          </w:p>
        </w:tc>
        <w:tc>
          <w:tcPr>
            <w:tcW w:type="dxa" w:w="36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Structural isolation (Section 6.1) is a Phase 0–1 deliverable, not hardening work scheduled later</w:t>
            </w:r>
          </w:p>
        </w:tc>
      </w:tr>
      <w:tr>
        <w:trPr>
          <w:cantSplit/>
        </w:trPr>
        <w:tc>
          <w:tcPr>
            <w:tcW w:type="dxa" w:w="25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Need 1–2 anchor design partners</w:t>
            </w:r>
          </w:p>
        </w:tc>
        <w:tc>
          <w:tcPr>
            <w:tcW w:type="dxa" w:w="32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Without a real MSSP or regulated enterprise validating assumptions, SLA and compliance-mapping logic risk being built against guesses</w:t>
            </w:r>
          </w:p>
        </w:tc>
        <w:tc>
          <w:tcPr>
            <w:tcW w:type="dxa" w:w="36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Phase 0 is explicitly scoped around securing design partners before MVP build begins</w:t>
            </w:r>
          </w:p>
        </w:tc>
      </w:tr>
      <w:tr>
        <w:trPr>
          <w:cantSplit/>
        </w:trPr>
        <w:tc>
          <w:tcPr>
            <w:tcW w:type="dxa" w:w="25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 product direction risk</w:t>
            </w:r>
          </w:p>
        </w:tc>
        <w:tc>
          <w:tcPr>
            <w:tcW w:type="dxa" w:w="32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The entire plan depends on AWS's continued investment in Security Agent and Continuum</w:t>
            </w:r>
          </w:p>
        </w:tc>
        <w:tc>
          <w:tcPr>
            <w:tcW w:type="dxa" w:w="36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This dependency is structural to the bet, not hidden — track AWS's public roadmap signals each phase gate</w:t>
            </w:r>
          </w:p>
        </w:tc>
      </w:tr>
    </w:tbl>
    <w:p>
      <w:pPr>
        <w:pStyle w:val="Heading1"/>
        <w:spacing w:after="200" w:before="420"/>
      </w:pPr>
      <w:r>
        <w:rPr>
          <w:rFonts w:ascii="Arial" w:cs="Arial" w:eastAsia="Arial" w:hAnsi="Arial"/>
          <w:b/>
          <w:bCs/>
          <w:color w:val="14213D"/>
          <w:sz w:val="36"/>
          <w:szCs w:val="36"/>
        </w:rPr>
        <w:t xml:space="preserve">13. Go-to-Market &amp; Business Model Summary</w:t>
      </w:r>
    </w:p>
    <w:p>
      <w:pPr>
        <w:pStyle w:val="Heading2"/>
        <w:spacing w:after="140" w:before="300"/>
      </w:pPr>
      <w:r>
        <w:rPr>
          <w:rFonts w:ascii="Arial" w:cs="Arial" w:eastAsia="Arial" w:hAnsi="Arial"/>
          <w:b/>
          <w:bCs/>
          <w:color w:val="14213D"/>
          <w:sz w:val="27"/>
          <w:szCs w:val="27"/>
        </w:rPr>
        <w:t xml:space="preserve">13.1 Buyers and channels</w:t>
      </w:r>
    </w:p>
    <w:p>
      <w:pPr>
        <w:spacing w:after="160" w:before="0" w:line="300"/>
      </w:pPr>
      <w:r>
        <w:rPr>
          <w:rFonts w:ascii="Arial" w:cs="Arial" w:eastAsia="Arial" w:hAnsi="Arial"/>
          <w:color w:val="1F2937"/>
          <w:sz w:val="22"/>
          <w:szCs w:val="22"/>
        </w:rPr>
        <w:t xml:space="preserve">Primary buyer: MSSPs and AWS SI partners, reached via AWS Marketplace listing and ISV Accelerate co-sell. Secondary buyer: regulated enterprises, reached via direct sales with AWS account-team co-sell support.</w:t>
      </w:r>
    </w:p>
    <w:p>
      <w:pPr>
        <w:pStyle w:val="Heading2"/>
        <w:spacing w:after="140" w:before="300"/>
      </w:pPr>
      <w:r>
        <w:rPr>
          <w:rFonts w:ascii="Arial" w:cs="Arial" w:eastAsia="Arial" w:hAnsi="Arial"/>
          <w:b/>
          <w:bCs/>
          <w:color w:val="14213D"/>
          <w:sz w:val="27"/>
          <w:szCs w:val="27"/>
        </w:rPr>
        <w:t xml:space="preserve">13.2 Pricing model</w:t>
      </w:r>
    </w:p>
    <w:p>
      <w:pPr>
        <w:pStyle w:val="ListParagraph"/>
        <w:numPr>
          <w:ilvl w:val="0"/>
          <w:numId w:val="2"/>
        </w:numPr>
        <w:spacing w:after="100" w:line="280"/>
      </w:pPr>
      <w:r>
        <w:rPr>
          <w:rFonts w:ascii="Arial" w:cs="Arial" w:eastAsia="Arial" w:hAnsi="Arial"/>
          <w:color w:val="1F2937"/>
          <w:sz w:val="22"/>
          <w:szCs w:val="22"/>
        </w:rPr>
        <w:t xml:space="preserve">MSSP Console: platform fee per managed client account per month, plus metered overage for scan volume.</w:t>
      </w:r>
    </w:p>
    <w:p>
      <w:pPr>
        <w:pStyle w:val="ListParagraph"/>
        <w:numPr>
          <w:ilvl w:val="0"/>
          <w:numId w:val="2"/>
        </w:numPr>
        <w:spacing w:after="100" w:line="280"/>
      </w:pPr>
      <w:r>
        <w:rPr>
          <w:rFonts w:ascii="Arial" w:cs="Arial" w:eastAsia="Arial" w:hAnsi="Arial"/>
          <w:color w:val="1F2937"/>
          <w:sz w:val="22"/>
          <w:szCs w:val="22"/>
        </w:rPr>
        <w:t xml:space="preserve">Comply: per-framework, per-tenant annual fee.</w:t>
      </w:r>
    </w:p>
    <w:p>
      <w:pPr>
        <w:pStyle w:val="ListParagraph"/>
        <w:numPr>
          <w:ilvl w:val="0"/>
          <w:numId w:val="2"/>
        </w:numPr>
        <w:spacing w:after="100" w:line="280"/>
      </w:pPr>
      <w:r>
        <w:rPr>
          <w:rFonts w:ascii="Arial" w:cs="Arial" w:eastAsia="Arial" w:hAnsi="Arial"/>
          <w:color w:val="1F2937"/>
          <w:sz w:val="22"/>
          <w:szCs w:val="22"/>
        </w:rPr>
        <w:t xml:space="preserve">Enterprise: flat annual tier bundling both modules for direct enterprise buyers who are not reselling.</w:t>
      </w:r>
    </w:p>
    <w:p>
      <w:pPr>
        <w:pStyle w:val="Heading2"/>
        <w:spacing w:after="140" w:before="300"/>
      </w:pPr>
      <w:r>
        <w:rPr>
          <w:rFonts w:ascii="Arial" w:cs="Arial" w:eastAsia="Arial" w:hAnsi="Arial"/>
          <w:b/>
          <w:bCs/>
          <w:color w:val="14213D"/>
          <w:sz w:val="27"/>
          <w:szCs w:val="27"/>
        </w:rPr>
        <w:t xml:space="preserve">13.3 The ask</w:t>
      </w:r>
    </w:p>
    <w:p>
      <w:pPr>
        <w:spacing w:after="160" w:before="0" w:line="300"/>
      </w:pPr>
      <w:r>
        <w:rPr>
          <w:rFonts w:ascii="Arial" w:cs="Arial" w:eastAsia="Arial" w:hAnsi="Arial"/>
          <w:color w:val="1F2937"/>
          <w:sz w:val="22"/>
          <w:szCs w:val="22"/>
        </w:rPr>
        <w:t xml:space="preserve">To move from concept to pilot in five months: design-partner access to the AWS Security Agent and Continuum APIs plus AWS ISV Accelerate enrollment; one MSSP or SI partner and/or one regulated enterprise compliance team to co-design Phase 0–1; and headcount/budget to fund Phase 0–1 design and MVP work per the roadmap in Section 11.</w:t>
      </w:r>
    </w:p>
    <w:p>
      <w:pPr>
        <w:pStyle w:val="Heading1"/>
        <w:spacing w:after="200" w:before="420"/>
      </w:pPr>
      <w:r>
        <w:rPr>
          <w:rFonts w:ascii="Arial" w:cs="Arial" w:eastAsia="Arial" w:hAnsi="Arial"/>
          <w:b/>
          <w:bCs/>
          <w:color w:val="14213D"/>
          <w:sz w:val="36"/>
          <w:szCs w:val="36"/>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Term</w:t>
            </w:r>
          </w:p>
        </w:tc>
        <w:tc>
          <w:tcPr>
            <w:tcW w:type="dxa" w:w="6960"/>
            <w:tcBorders>
              <w:top w:val="single" w:color="D9DEE6" w:sz="2"/>
              <w:left w:val="single" w:color="D9DEE6" w:sz="2"/>
              <w:bottom w:val="single" w:color="D9DEE6" w:sz="2"/>
              <w:right w:val="single" w:color="D9DEE6" w:sz="2"/>
            </w:tcBorders>
            <w:shd w:fill="14213D"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Definition</w:t>
            </w:r>
          </w:p>
        </w:tc>
      </w:tr>
      <w:tr>
        <w:trPr>
          <w:cantSplit/>
        </w:trPr>
        <w:tc>
          <w:tcPr>
            <w:tcW w:type="dxa" w:w="24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Agent Space</w:t>
            </w:r>
          </w:p>
        </w:tc>
        <w:tc>
          <w:tcPr>
            <w:tcW w:type="dxa" w:w="69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 Security Agent's logical container scoping a repo/config set and its cross-account IAM access</w:t>
            </w:r>
          </w:p>
        </w:tc>
      </w:tr>
      <w:tr>
        <w:trPr>
          <w:cantSplit/>
        </w:trPr>
        <w:tc>
          <w:tcPr>
            <w:tcW w:type="dxa" w:w="24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Learn mode / enforce mode</w:t>
            </w:r>
          </w:p>
        </w:tc>
        <w:tc>
          <w:tcPr>
            <w:tcW w:type="dxa" w:w="69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AWS Continuum's governance states: human-reviewed remediation vs. increasingly automated remediation</w:t>
            </w:r>
          </w:p>
        </w:tc>
      </w:tr>
      <w:tr>
        <w:trPr>
          <w:cantSplit/>
        </w:trPr>
        <w:tc>
          <w:tcPr>
            <w:tcW w:type="dxa" w:w="24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Control mapping</w:t>
            </w:r>
          </w:p>
        </w:tc>
        <w:tc>
          <w:tcPr>
            <w:tcW w:type="dxa" w:w="69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Linking a security finding or remediation action to a specific compliance framework control ID</w:t>
            </w:r>
          </w:p>
        </w:tc>
      </w:tr>
      <w:tr>
        <w:trPr>
          <w:cantSplit/>
        </w:trPr>
        <w:tc>
          <w:tcPr>
            <w:tcW w:type="dxa" w:w="24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Evidence package</w:t>
            </w:r>
          </w:p>
        </w:tc>
        <w:tc>
          <w:tcPr>
            <w:tcW w:type="dxa" w:w="69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An immutable, point-in-time export of findings, control mappings, and remediation proof for an auditor</w:t>
            </w:r>
          </w:p>
        </w:tc>
      </w:tr>
      <w:tr>
        <w:trPr>
          <w:cantSplit/>
        </w:trPr>
        <w:tc>
          <w:tcPr>
            <w:tcW w:type="dxa" w:w="24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Posture drift</w:t>
            </w:r>
          </w:p>
        </w:tc>
        <w:tc>
          <w:tcPr>
            <w:tcW w:type="dxa" w:w="69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 previously satisfied compliance control becoming unsatisfied due to a new or unresolved finding</w:t>
            </w:r>
          </w:p>
        </w:tc>
      </w:tr>
      <w:tr>
        <w:trPr>
          <w:cantSplit/>
        </w:trPr>
        <w:tc>
          <w:tcPr>
            <w:tcW w:type="dxa" w:w="240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MSSP</w:t>
            </w:r>
          </w:p>
        </w:tc>
        <w:tc>
          <w:tcPr>
            <w:tcW w:type="dxa" w:w="6960"/>
            <w:tcBorders>
              <w:top w:val="single" w:color="D9DEE6" w:sz="2"/>
              <w:left w:val="single" w:color="D9DEE6" w:sz="2"/>
              <w:bottom w:val="single" w:color="D9DEE6" w:sz="2"/>
              <w:right w:val="single" w:color="D9DEE6" w:sz="2"/>
            </w:tcBorders>
            <w:shd w:fill="EAEEF6" w:val="clear"/>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Managed Security Service Provider — a company that operates security tooling on behalf of client organizations</w:t>
            </w:r>
          </w:p>
        </w:tc>
      </w:tr>
      <w:tr>
        <w:trPr>
          <w:cantSplit/>
        </w:trPr>
        <w:tc>
          <w:tcPr>
            <w:tcW w:type="dxa" w:w="240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Object Lock</w:t>
            </w:r>
          </w:p>
        </w:tc>
        <w:tc>
          <w:tcPr>
            <w:tcW w:type="dxa" w:w="6960"/>
            <w:tcBorders>
              <w:top w:val="single" w:color="D9DEE6" w:sz="2"/>
              <w:left w:val="single" w:color="D9DEE6" w:sz="2"/>
              <w:bottom w:val="single" w:color="D9DEE6" w:sz="2"/>
              <w:right w:val="single" w:color="D9DEE6" w:sz="2"/>
            </w:tcBorders>
            <w:tcMar>
              <w:top w:type="dxa" w:w="90"/>
              <w:left w:type="dxa" w:w="130"/>
              <w:bottom w:type="dxa" w:w="90"/>
              <w:right w:type="dxa" w:w="130"/>
            </w:tcMar>
            <w:vAlign w:val="center"/>
          </w:tcPr>
          <w:p>
            <w:pPr>
              <w:spacing w:after="0"/>
            </w:pPr>
            <w:r>
              <w:rPr>
                <w:rFonts w:ascii="Arial" w:cs="Arial" w:eastAsia="Arial" w:hAnsi="Arial"/>
                <w:color w:val="1F2937"/>
                <w:sz w:val="19"/>
                <w:szCs w:val="19"/>
              </w:rPr>
              <w:t xml:space="preserve">An S3 feature that prevents an object from being deleted or overwritten for a fixed retention period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4748B"/>
        <w:sz w:val="16"/>
        <w:szCs w:val="16"/>
      </w:rPr>
      <w:t xml:space="preserve">Veriguard  ·  elngovind@gmail.com</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6" w:sz="4" w:space="4"/>
      </w:pBdr>
      <w:tabs>
        <w:tab w:val="right" w:pos="9026"/>
      </w:tabs>
    </w:pPr>
    <w:r>
      <w:rPr>
        <w:rFonts w:ascii="Arial" w:cs="Arial" w:eastAsia="Arial" w:hAnsi="Arial"/>
        <w:b/>
        <w:bCs/>
        <w:color w:val="14213D"/>
        <w:sz w:val="16"/>
        <w:szCs w:val="16"/>
      </w:rPr>
      <w:t xml:space="preserve">VERIGUARD</w:t>
    </w:r>
    <w:r>
      <w:rPr>
        <w:rFonts w:ascii="Arial" w:cs="Arial" w:eastAsia="Arial" w:hAnsi="Arial"/>
        <w:color w:val="64748B"/>
        <w:sz w:val="16"/>
        <w:szCs w:val="16"/>
      </w:rPr>
      <w:t xml:space="preserve">	Architecture &amp;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Arial" w:cs="Arial" w:eastAsia="Arial" w:hAnsi="Arial"/>
      <w:b/>
      <w:bCs/>
      <w:color w:val="14213D"/>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4213D"/>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0E7C8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Veriguard — Architecture &amp; Product Requirements Document</dc:title>
  <dc:creator>Govind</dc:creator>
  <dc:description>Architecture and PRD for the Veriguard platform (MSSP Console + Comply) built on AWS Security Agent and AWS Continuum.</dc:description>
  <cp:lastModifiedBy>Un-named</cp:lastModifiedBy>
  <cp:revision>1</cp:revision>
  <dcterms:created xsi:type="dcterms:W3CDTF">2026-06-30T09:36:58.014Z</dcterms:created>
  <dcterms:modified xsi:type="dcterms:W3CDTF">2026-06-30T09:36:58.014Z</dcterms:modified>
</cp:coreProperties>
</file>

<file path=docProps/custom.xml><?xml version="1.0" encoding="utf-8"?>
<Properties xmlns="http://schemas.openxmlformats.org/officeDocument/2006/custom-properties" xmlns:vt="http://schemas.openxmlformats.org/officeDocument/2006/docPropsVTypes"/>
</file>