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4343C"/>
          <w:sz w:val="36"/>
          <w:szCs w:val="36"/>
        </w:rPr>
        <w:t xml:space="preserve">AL JAR COFFEE</w:t>
      </w:r>
    </w:p>
    <w:p>
      <w:pPr>
        <w:spacing w:after="30"/>
        <w:jc w:val="center"/>
      </w:pPr>
      <w:r>
        <w:rPr>
          <w:color w:val="0ABAB5"/>
          <w:sz w:val="24"/>
          <w:szCs w:val="24"/>
        </w:rPr>
        <w:t xml:space="preserve">1. UI Kit / Design System</w:t>
      </w:r>
    </w:p>
    <w:p>
      <w:pPr>
        <w:spacing w:after="30"/>
        <w:jc w:val="center"/>
      </w:pPr>
      <w:r>
        <w:rPr>
          <w:color w:val="0ABAB5"/>
          <w:sz w:val="24"/>
          <w:szCs w:val="24"/>
        </w:rPr>
        <w:t xml:space="preserve">2. Спецификация для разработчиков</w:t>
      </w:r>
    </w:p>
    <w:p>
      <w:pPr>
        <w:spacing w:after="180"/>
        <w:jc w:val="center"/>
      </w:pPr>
      <w:r>
        <w:rPr>
          <w:color w:val="0ABAB5"/>
          <w:sz w:val="24"/>
          <w:szCs w:val="24"/>
        </w:rPr>
        <w:t xml:space="preserve">3. Desktop Account + Checkout</w:t>
      </w:r>
    </w:p>
    <w:p>
      <w:pPr>
        <w:pStyle w:val="Heading1"/>
      </w:pPr>
      <w:r>
        <w:t xml:space="preserve">1. UI Kit / Design System</w:t>
      </w:r>
    </w:p>
    <w:p>
      <w:pPr>
        <w:spacing w:after="100"/>
      </w:pPr>
      <w:r>
        <w:t xml:space="preserve">Единая система компонентов, построенная на утверждённой палитре и принципах Design Concept v1.</w:t>
      </w:r>
    </w:p>
    <w:p>
      <w:pPr>
        <w:spacing w:after="5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UI Kit" descr="Design system components" title="UI K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4"/>
          <w:szCs w:val="14"/>
        </w:rPr>
        <w:t xml:space="preserve">UI Kit overview — buttons, inputs, cards, toggles, badges, palette, type</w:t>
      </w:r>
    </w:p>
    <w:p>
      <w:pPr>
        <w:pStyle w:val="Heading2"/>
      </w:pPr>
      <w:r>
        <w:t xml:space="preserve">1.1 Цвета (токены)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900"/>
      </w:tblGrid>
      <w:tr>
        <w:tc>
          <w:tcPr>
            <w:tcW w:type="dxa" w:w="22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0ABAB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Tiffany</w:t>
            </w:r>
          </w:p>
        </w:tc>
        <w:tc>
          <w:tcPr>
            <w:tcW w:type="dxa" w:w="22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1434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Petrol</w:t>
            </w:r>
          </w:p>
        </w:tc>
        <w:tc>
          <w:tcPr>
            <w:tcW w:type="dxa" w:w="59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C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Paper #FCFAF7 — основной фон</w:t>
            </w:r>
          </w:p>
        </w:tc>
      </w:tr>
      <w:tr>
        <w:tc>
          <w:tcPr>
            <w:tcW w:type="dxa" w:w="22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6EE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Sand</w:t>
            </w:r>
          </w:p>
        </w:tc>
        <w:tc>
          <w:tcPr>
            <w:tcW w:type="dxa" w:w="22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1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Ice</w:t>
            </w:r>
          </w:p>
        </w:tc>
        <w:tc>
          <w:tcPr>
            <w:tcW w:type="dxa" w:w="59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C858C"/>
                <w:sz w:val="16"/>
                <w:szCs w:val="16"/>
              </w:rPr>
              <w:t xml:space="preserve">Grey #6C858C · Line #E0E7E8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Семантические (предложить на утверждение):</w:t>
      </w:r>
    </w:p>
    <w:p>
      <w:pPr>
        <w:pStyle w:val="ListParagraph"/>
        <w:numPr>
          <w:ilvl w:val="0"/>
          <w:numId w:val="2"/>
        </w:numPr>
      </w:pPr>
      <w:r>
        <w:t xml:space="preserve">Success: мягкий зелёный, гармоничный с tiffany</w:t>
      </w:r>
    </w:p>
    <w:p>
      <w:pPr>
        <w:pStyle w:val="ListParagraph"/>
        <w:numPr>
          <w:ilvl w:val="0"/>
          <w:numId w:val="2"/>
        </w:numPr>
      </w:pPr>
      <w:r>
        <w:t xml:space="preserve">Error: тёплый терракотовый / приглушённый красный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Warning: мягкий янтарный</w:t>
      </w:r>
    </w:p>
    <w:p>
      <w:pPr>
        <w:pStyle w:val="Heading2"/>
      </w:pPr>
      <w:r>
        <w:t xml:space="preserve">1.2 Кнопки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Tiffany fill / white text. Hover — чуть темнее. Disabled — 40% opacity.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Petrol fill или outline.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Ghost / Text: </w:t>
      </w:r>
      <w:r>
        <w:t xml:space="preserve">только текст + underline on hover.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Размеры: </w:t>
      </w:r>
      <w:r>
        <w:t xml:space="preserve">L (высота ~48–52px), M (~40px), S (~32px). Border-radius: 12–999px (pill для CTA).</w:t>
      </w:r>
    </w:p>
    <w:p>
      <w:pPr>
        <w:pStyle w:val="Heading2"/>
      </w:pPr>
      <w:r>
        <w:t xml:space="preserve">1.3 Поля ввода и селекты</w:t>
      </w:r>
    </w:p>
    <w:p>
      <w:pPr>
        <w:pStyle w:val="ListParagraph"/>
        <w:numPr>
          <w:ilvl w:val="0"/>
          <w:numId w:val="2"/>
        </w:numPr>
      </w:pPr>
      <w:r>
        <w:t xml:space="preserve">Высота ~44–48px, radius 10–12px</w:t>
      </w:r>
    </w:p>
    <w:p>
      <w:pPr>
        <w:pStyle w:val="ListParagraph"/>
        <w:numPr>
          <w:ilvl w:val="0"/>
          <w:numId w:val="2"/>
        </w:numPr>
      </w:pPr>
      <w:r>
        <w:t xml:space="preserve">Border: Line #E0E7E8 → focus: Tiffany</w:t>
      </w:r>
    </w:p>
    <w:p>
      <w:pPr>
        <w:pStyle w:val="ListParagraph"/>
        <w:numPr>
          <w:ilvl w:val="0"/>
          <w:numId w:val="2"/>
        </w:numPr>
      </w:pPr>
      <w:r>
        <w:t xml:space="preserve">Label сверху или floating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Ошибка: border error-color + текст под полем</w:t>
      </w:r>
    </w:p>
    <w:p>
      <w:pPr>
        <w:pStyle w:val="Heading2"/>
      </w:pPr>
      <w:r>
        <w:t xml:space="preserve">1.4 Карточки товара</w:t>
      </w:r>
    </w:p>
    <w:p>
      <w:pPr>
        <w:pStyle w:val="ListParagraph"/>
        <w:numPr>
          <w:ilvl w:val="0"/>
          <w:numId w:val="2"/>
        </w:numPr>
      </w:pPr>
      <w:r>
        <w:t xml:space="preserve">Обязательные элементы: фото, дата обжарки (бейдж), название, краткие ноты, цена, быстрый add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Hover: лёгкий scale / тень. Radius 16–20px.</w:t>
      </w:r>
    </w:p>
    <w:p>
      <w:pPr>
        <w:pStyle w:val="Heading2"/>
      </w:pPr>
      <w:r>
        <w:t xml:space="preserve">1.5 Отступы и сетка</w:t>
      </w:r>
    </w:p>
    <w:p>
      <w:pPr>
        <w:pStyle w:val="ListParagraph"/>
        <w:numPr>
          <w:ilvl w:val="0"/>
          <w:numId w:val="2"/>
        </w:numPr>
      </w:pPr>
      <w:r>
        <w:t xml:space="preserve">Базовый unit: 4px / 8px</w:t>
      </w:r>
    </w:p>
    <w:p>
      <w:pPr>
        <w:pStyle w:val="ListParagraph"/>
        <w:numPr>
          <w:ilvl w:val="0"/>
          <w:numId w:val="2"/>
        </w:numPr>
      </w:pPr>
      <w:r>
        <w:t xml:space="preserve">Секции: вертикальный ритм 48–80px (mobile), 64–120px (desktop)</w:t>
      </w:r>
    </w:p>
    <w:p>
      <w:pPr>
        <w:pStyle w:val="ListParagraph"/>
        <w:numPr>
          <w:ilvl w:val="0"/>
          <w:numId w:val="2"/>
        </w:numPr>
      </w:pPr>
      <w:r>
        <w:t xml:space="preserve">Контейнер desktop: max-width ~1200–1280px, padding 24–40px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12-колоночная сетка на desktop</w:t>
      </w:r>
    </w:p>
    <w:p>
      <w:pPr>
        <w:pStyle w:val="Heading1"/>
      </w:pPr>
      <w:r>
        <w:t xml:space="preserve">2. Спецификация для разработчиков</w:t>
      </w:r>
    </w:p>
    <w:p>
      <w:pPr>
        <w:pStyle w:val="Heading2"/>
      </w:pPr>
      <w:r>
        <w:t xml:space="preserve">2.1 Брейкпоинты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Mobile: </w:t>
      </w:r>
      <w:r>
        <w:t xml:space="preserve">375–390 px (основной дизайн)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Tablet: </w:t>
      </w:r>
      <w:r>
        <w:t xml:space="preserve">768 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Desktop: </w:t>
      </w:r>
      <w:r>
        <w:t xml:space="preserve">1440 px (+ проверка 1920)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Подход: </w:t>
      </w:r>
      <w:r>
        <w:t xml:space="preserve">Mobile-first. Стили пишутся от маленького экрана вверх.</w:t>
      </w:r>
    </w:p>
    <w:p>
      <w:pPr>
        <w:pStyle w:val="Heading2"/>
      </w:pPr>
      <w:r>
        <w:t xml:space="preserve">2.2 Поведение и состояния</w:t>
      </w:r>
    </w:p>
    <w:p>
      <w:pPr>
        <w:pStyle w:val="ListParagraph"/>
        <w:numPr>
          <w:ilvl w:val="0"/>
          <w:numId w:val="2"/>
        </w:numPr>
      </w:pPr>
      <w:r>
        <w:t xml:space="preserve">Кнопки: default / hover / active / disabled / loading (spinner)</w:t>
      </w:r>
    </w:p>
    <w:p>
      <w:pPr>
        <w:pStyle w:val="ListParagraph"/>
        <w:numPr>
          <w:ilvl w:val="0"/>
          <w:numId w:val="2"/>
        </w:numPr>
      </w:pPr>
      <w:r>
        <w:t xml:space="preserve">Формы: empty / filled / focus / error / success</w:t>
      </w:r>
    </w:p>
    <w:p>
      <w:pPr>
        <w:pStyle w:val="ListParagraph"/>
        <w:numPr>
          <w:ilvl w:val="0"/>
          <w:numId w:val="2"/>
        </w:numPr>
      </w:pPr>
      <w:r>
        <w:t xml:space="preserve">Карточки: empty state каталога, skeleton loading</w:t>
      </w:r>
    </w:p>
    <w:p>
      <w:pPr>
        <w:pStyle w:val="ListParagraph"/>
        <w:numPr>
          <w:ilvl w:val="0"/>
          <w:numId w:val="2"/>
        </w:numPr>
      </w:pPr>
      <w:r>
        <w:t xml:space="preserve">Подписка: активна / на паузе / отменена (с удерживающим оффером)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Checkout success / error payment</w:t>
      </w:r>
    </w:p>
    <w:p>
      <w:pPr>
        <w:pStyle w:val="Heading2"/>
      </w:pPr>
      <w:r>
        <w:t xml:space="preserve">2.3 Доступность (a11y)</w:t>
      </w:r>
    </w:p>
    <w:p>
      <w:pPr>
        <w:pStyle w:val="ListParagraph"/>
        <w:numPr>
          <w:ilvl w:val="0"/>
          <w:numId w:val="2"/>
        </w:numPr>
      </w:pPr>
      <w:r>
        <w:t xml:space="preserve">Контраст текста ≥ AA (Petrol на Paper — отлично)</w:t>
      </w:r>
    </w:p>
    <w:p>
      <w:pPr>
        <w:pStyle w:val="ListParagraph"/>
        <w:numPr>
          <w:ilvl w:val="0"/>
          <w:numId w:val="2"/>
        </w:numPr>
      </w:pPr>
      <w:r>
        <w:t xml:space="preserve">Focus-visible кольцо (Tiffany или Petrol)</w:t>
      </w:r>
    </w:p>
    <w:p>
      <w:pPr>
        <w:pStyle w:val="ListParagraph"/>
        <w:numPr>
          <w:ilvl w:val="0"/>
          <w:numId w:val="2"/>
        </w:numPr>
      </w:pPr>
      <w:r>
        <w:t xml:space="preserve">Все интерактивные элементы доступны с клавиатуры</w:t>
      </w:r>
    </w:p>
    <w:p>
      <w:pPr>
        <w:pStyle w:val="ListParagraph"/>
        <w:numPr>
          <w:ilvl w:val="0"/>
          <w:numId w:val="2"/>
        </w:numPr>
      </w:pPr>
      <w:r>
        <w:t xml:space="preserve">Alt-тексты для изображений товаров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ARIA-labels для иконок (корзина, поиск, меню)</w:t>
      </w:r>
    </w:p>
    <w:p>
      <w:pPr>
        <w:pStyle w:val="Heading2"/>
      </w:pPr>
      <w:r>
        <w:t xml:space="preserve">2.4 Производительность</w:t>
      </w:r>
    </w:p>
    <w:p>
      <w:pPr>
        <w:pStyle w:val="ListParagraph"/>
        <w:numPr>
          <w:ilvl w:val="0"/>
          <w:numId w:val="2"/>
        </w:numPr>
      </w:pPr>
      <w:r>
        <w:t xml:space="preserve">Изображения: WebP/AVIF + lazy loading</w:t>
      </w:r>
    </w:p>
    <w:p>
      <w:pPr>
        <w:pStyle w:val="ListParagraph"/>
        <w:numPr>
          <w:ilvl w:val="0"/>
          <w:numId w:val="2"/>
        </w:numPr>
      </w:pPr>
      <w:r>
        <w:t xml:space="preserve">Минимум тяжёлых фоновых видео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Анимации — CSS (transform/opacity), без сложных JS-библиотек где можно</w:t>
      </w:r>
    </w:p>
    <w:p>
      <w:pPr>
        <w:pStyle w:val="Heading1"/>
      </w:pPr>
      <w:r>
        <w:t xml:space="preserve">3. Desktop — Account + Checkout</w:t>
      </w:r>
    </w:p>
    <w:p>
      <w:pPr>
        <w:pStyle w:val="Heading2"/>
      </w:pPr>
      <w:r>
        <w:t xml:space="preserve">3.1 Личный кабинет / Управление подпиской</w:t>
      </w:r>
    </w:p>
    <w:p>
      <w:pPr>
        <w:spacing w:after="5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Desktop Account" descr="Desktop account page" title="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C858C"/>
          <w:sz w:val="14"/>
          <w:szCs w:val="14"/>
        </w:rPr>
        <w:t xml:space="preserve">Desktop Account — sidebar nav, active subscription, history, referral</w:t>
      </w:r>
    </w:p>
    <w:p>
      <w:pPr>
        <w:pStyle w:val="ListParagraph"/>
        <w:numPr>
          <w:ilvl w:val="0"/>
          <w:numId w:val="2"/>
        </w:numPr>
      </w:pPr>
      <w:r>
        <w:t xml:space="preserve">Левый сайдбар навигации ЛК</w:t>
      </w:r>
    </w:p>
    <w:p>
      <w:pPr>
        <w:pStyle w:val="ListParagraph"/>
        <w:numPr>
          <w:ilvl w:val="0"/>
          <w:numId w:val="2"/>
        </w:numPr>
      </w:pPr>
      <w:r>
        <w:t xml:space="preserve">Крупная карточка активной подписки + Change / Pause / Cancel</w:t>
      </w:r>
    </w:p>
    <w:p>
      <w:pPr>
        <w:pStyle w:val="ListParagraph"/>
        <w:numPr>
          <w:ilvl w:val="0"/>
          <w:numId w:val="2"/>
        </w:numPr>
      </w:pPr>
      <w:r>
        <w:t xml:space="preserve">Таблица истории заказов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Реферальный блок</w:t>
      </w:r>
    </w:p>
    <w:p>
      <w:pPr>
        <w:pStyle w:val="Heading2"/>
      </w:pPr>
      <w:r>
        <w:t xml:space="preserve">3.2 Checkout (Desktop)</w:t>
      </w:r>
    </w:p>
    <w:p>
      <w:pPr>
        <w:spacing w:after="5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Desktop Checkout" descr="Desktop checkout" title="Check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C858C"/>
          <w:sz w:val="14"/>
          <w:szCs w:val="14"/>
        </w:rPr>
        <w:t xml:space="preserve">Desktop Checkout — progress, form + sticky order summary</w:t>
      </w:r>
    </w:p>
    <w:p>
      <w:pPr>
        <w:pStyle w:val="ListParagraph"/>
        <w:numPr>
          <w:ilvl w:val="0"/>
          <w:numId w:val="2"/>
        </w:numPr>
      </w:pPr>
      <w:r>
        <w:t xml:space="preserve">Прогресс-бар шагов</w:t>
      </w:r>
    </w:p>
    <w:p>
      <w:pPr>
        <w:pStyle w:val="ListParagraph"/>
        <w:numPr>
          <w:ilvl w:val="0"/>
          <w:numId w:val="2"/>
        </w:numPr>
      </w:pPr>
      <w:r>
        <w:t xml:space="preserve">Слева форма (доставка, телефон обязателен, адрес, оплата)</w:t>
      </w:r>
    </w:p>
    <w:p>
      <w:pPr>
        <w:pStyle w:val="ListParagraph"/>
        <w:numPr>
          <w:ilvl w:val="0"/>
          <w:numId w:val="2"/>
        </w:numPr>
      </w:pPr>
      <w:r>
        <w:t xml:space="preserve">Справа sticky-сводка заказа с датами обжарки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Сильный CTA «Оплатить»</w:t>
      </w:r>
    </w:p>
    <w:p>
      <w:pPr>
        <w:pStyle w:val="Heading1"/>
      </w:pPr>
      <w:r>
        <w:t xml:space="preserve">Итог по пунктам 1–3</w:t>
      </w:r>
    </w:p>
    <w:p>
      <w:pPr>
        <w:spacing w:after="80"/>
      </w:pPr>
      <w:r>
        <w:t xml:space="preserve">Выполнены: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UI Kit / Design System</w:t>
      </w:r>
      <w:r>
        <w:t xml:space="preserve"> — цвета, кнопки, поля, карточки, отступы, состояния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Спецификация для разработчиков</w:t>
      </w:r>
      <w:r>
        <w:t xml:space="preserve"> — брейкпоинты, поведение, a11y, производительность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Desktop Account + Checkout</w:t>
      </w:r>
    </w:p>
    <w:p>
      <w:pPr>
        <w:spacing w:after="80"/>
      </w:pPr>
      <w:r>
        <w:rPr>
          <w:i/>
          <w:iCs/>
        </w:rPr>
        <w:t xml:space="preserve">Пункт 4 (подготовка к передаче в Figma / разработку) — обсудим после вашего фидбека.</w:t>
      </w:r>
    </w:p>
    <w:p>
      <w:pPr>
        <w:spacing w:before="120"/>
        <w:jc w:val="center"/>
      </w:pPr>
      <w:r>
        <w:rPr>
          <w:i/>
          <w:iCs/>
          <w:color w:val="6C858C"/>
          <w:sz w:val="15"/>
          <w:szCs w:val="15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3"/>
        <w:szCs w:val="13"/>
      </w:rPr>
      <w:t xml:space="preserve">Конфиденциально  ·  </w:t>
    </w:r>
    <w:r>
      <w:rPr>
        <w:color w:val="6C858C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C858C"/>
        <w:sz w:val="13"/>
        <w:szCs w:val="13"/>
      </w:rPr>
      <w:t xml:space="preserve"> / </w:t>
    </w:r>
    <w:r>
      <w:rPr>
        <w:color w:val="6C858C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4"/>
      </w:pBdr>
    </w:pPr>
    <w:r>
      <w:rPr>
        <w:color w:val="6C858C"/>
        <w:sz w:val="15"/>
        <w:szCs w:val="15"/>
      </w:rPr>
      <w:t xml:space="preserve">Al Jar Coffee  ·  Design System + Specs + Desktop Account/Checkout</w:t>
    </w:r>
    <w:r>
      <w:rPr>
        <w:color w:val="6C858C"/>
        <w:sz w:val="15"/>
        <w:szCs w:val="15"/>
      </w:rPr>
      <w:t xml:space="preserve">  |  19.08.2026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434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rFonts w:ascii="Arial" w:cs="Arial" w:eastAsia="Arial" w:hAnsi="Arial"/>
      <w:b/>
      <w:bCs/>
      <w:color w:val="14343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50" w:before="120"/>
      <w:outlineLvl w:val="2"/>
    </w:pPr>
    <w:rPr>
      <w:rFonts w:ascii="Arial" w:cs="Arial" w:eastAsia="Arial" w:hAnsi="Arial"/>
      <w:b/>
      <w:bCs/>
      <w:color w:val="0ABAB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54b7ca81abb220544b3389c5fdc6184071f208.jpg"/><Relationship Id="rId10" Type="http://schemas.openxmlformats.org/officeDocument/2006/relationships/image" Target="media/23e1585b70442ffcb9e5197f4871df790a19e43f.jpg"/><Relationship Id="rId11" Type="http://schemas.openxmlformats.org/officeDocument/2006/relationships/image" Target="media/cb8b1b8fd3a8d996a9fc3372668edec05bf83e04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2026-08-19T10:02:53.857Z</dcterms:created>
  <dcterms:modified xsi:type="dcterms:W3CDTF">2026-08-19T10:02:53.858Z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