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B2118"/>
          <w:sz w:val="40"/>
          <w:szCs w:val="40"/>
        </w:rPr>
        <w:t xml:space="preserve">ТЕХНИЧЕСКОЕ ЗАДАНИЕ</w:t>
      </w:r>
    </w:p>
    <w:p>
      <w:pPr>
        <w:spacing w:after="40"/>
        <w:jc w:val="center"/>
      </w:pPr>
      <w:r>
        <w:rPr>
          <w:b/>
          <w:bCs/>
          <w:color w:val="6F4E37"/>
          <w:sz w:val="22"/>
          <w:szCs w:val="22"/>
        </w:rPr>
        <w:t xml:space="preserve">на дизайн сайта кофейного бренда (интернет-магазин + подписка на кофе)</w:t>
      </w:r>
    </w:p>
    <w:p>
      <w:pPr>
        <w:spacing w:after="400"/>
        <w:jc w:val="center"/>
      </w:pPr>
      <w:r>
        <w:rPr>
          <w:color w:val="6B6B6B"/>
          <w:sz w:val="18"/>
          <w:szCs w:val="18"/>
        </w:rPr>
        <w:t xml:space="preserve">Версия 1.1 · дата: ____________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1. О проекте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Заказчик: кофейное производство полного цикла (закупка сырого зерна, обжарка до 20 тонн в месяц, фасовка). Формат бизнеса: B2C — собственный бренд, продажи через сайт, соцсети и маркетплейсы, стратегический фокус на подписочной модели продаж.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Требуется разработать дизайн сайта, который решает две задачи одновременно: продаёт кофе как повседневный продукт (понятный каталог, быстрая покупка) и продаёт бренд как историю (происхождение зерна, философия обжарки, доверие к продукту).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Брендбук прикладывается отдельным файлом и является приоритетным источником по цветам, шрифтовым парам и логотипу. Все указания по стилю в этом ТЗ не должны противоречить брендбуку — при расхождении брендбук имеет приоритет. Если какого-то элемента (например, вторичной палитры или иконографики) в брендбуке нет — дизайнер предлагает варианты на утверждение перед началом отрисовки макетов.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Дизайнер проекта подготовил операционный пайплайн производства дизайна (для собственной команды/ИИ-агентов), который детализирует этапы работы поверх этого ТЗ. Порядок приоритета источников, зафиксированный в пайплайне и не противоречащий этому документу: 1) брендбук, 2) это ТЗ, 3) пайплайн дизайнера. Раздел 14 (Приложение Б) сверяет входные данные, которые требует пайплайн, с тем, что уже есть по проекту, и фиксирует, что ещё блокирует старт отрисовки.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2. Цели сайта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Продавать кофе физическим лицам через удобный интернет-магазин с минимальным количеством шагов до 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Конвертировать разовых покупателей в подписчиков (регулярная доставка — ключевая бизнес-модель, влияет на приоритет блоков на сайте).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Формировать доверие к продукту через прозрачность: дата обжарки, происхождение партии, вкусовой профиль.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Собирать базу для email/Telegram-рассылок и реферальной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Быть быстрым и удобным на мобильных устройствах — предполагается, что доля мобильного трафика будет преобладающей.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3. Целевая аудитория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50"/>
      </w:tblGrid>
      <w:tr>
        <w:trPr>
          <w:tblHeader/>
        </w:trPr>
        <w:tc>
          <w:tcPr>
            <w:tcW w:type="dxa" w:w="24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8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1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важно в дизайне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Домашние энтузиасты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Готовят кофе дома на кофемашине/гейзере/пуровере, разбираются в зерне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Понятная фильтрация по вкусу, помолу, степени обжарки; развёрнутые карточки товара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Случайные покупатели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Хотят «просто хороший кофе», не разбираются в терминах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Простые формулировки, рекомендательные подборки, минимум решений на пути к покупке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Подарочный сегмент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Ищут подарок с историей / оформлением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Отдельные подарочные наборы, эстетичная упаковка в визуале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Постоянные клиенты / подписчики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Уже знакомы с брендом, оформляют регулярные заказы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Быстрый повторный заказ, личный кабинет, управление подпиской в 1–2 клика</w:t>
            </w:r>
          </w:p>
        </w:tc>
      </w:tr>
    </w:tbl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4. Структура сайта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Ниже — обязательный минимум разделов. Дизайнер может предложить дополнительные страницы, если это усиливает сторителлинг бренда (например, отдельная страница «Производство» с интерактивным таймлайном обжарки).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50"/>
      </w:tblGrid>
      <w:tr>
        <w:trPr>
          <w:tblHeader/>
        </w:trPr>
        <w:tc>
          <w:tcPr>
            <w:tcW w:type="dxa" w:w="22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7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4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блоки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Знакомство с брендом, направление трафика в каталог/подписку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Хиро с УТП, подборки товаров, блок «свежая обжарка на этой неделе», сторителлинг о происхождении, отзывы, блок подписки, соцдоказательство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Выбор и сравнение товаров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Фильтры (обжарка, помол, регион, вкусовой профиль, цена), сортировка, быстрый просмотр карточки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Страница товара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Принятие решения о покупке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Фото, дата обжарки, вкусовой профиль (карта вкуса), происхождение, варианты помола/объёма, переключатель «разовая покупка / подписка», сопутствующие товары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Подписка (лендинг)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Продажа модели подписки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Как это работает, выгода в цене, кастомизация частоты и объёма, FAQ, отзывы подписчиков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О бренде / Производство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Доверие и дифференциация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История, команда, процесс обжарки, ценности, фото производства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Оптовым покупателям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Привлечение B2B-клиентов (кофейни, рестораны, отели, офисы)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УТП для опта, условия сотрудничества (минимальная партия, цены от объёма), доступные позиции, кейсы/логотипы партнёров (если есть), форма обратной связи, контакты менеджера по опту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Блог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SEO-трафик, экспертность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Список статей, гайды по завариванию, карточка статьи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Личный кабинет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Удержание клиентов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История заказов, управление подпиской (пауза/изменение/отмена), бонусы, реферальная ссылка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Корзина / Оформление заказа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Завершение покупки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Краткая сводка, выбор доставки и оплаты, апсейл в 1 клик, прогресс-бар шагов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Доставка и оплата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Снятие возражений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Способы доставки, сроки, стоимость, способы оплаты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Связь с брендом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Форма, мессенджеры, карта (если есть шоурум/точка самовывоза)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Политика/оферта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Юридический минимум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Простая типографика, второстепенный приоритет в дизайне</w:t>
            </w:r>
          </w:p>
        </w:tc>
      </w:tr>
    </w:tbl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5. Функциональные требования к дизайну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Дизайнер должен предусмотреть в макетах состояния и логику следующих модулей (даже если реализация — на стороне разработчика/платформы):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5.1 Каталог и карточка товара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Фильтрация по нескольким параметрам одновременно, с отображением количества товаров в результате.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Индикатор свежести/даты обжарки как элемент доверия, а не мелкий текст в подвале карточки.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Визуализация вкусового профиля (например, шкала «кислотность / тело / сладость» или карта ароматов) — element сторителлинга и продающий элемент одновременно.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5.2 Модуль подписки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Экран выбора: объём, помол, частота доставки (например, раз в 2/3/4 недели).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Явное отображение выгоды подписки в цене по сравнению с разовой покупкой.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Состояние управления подпиской в личном кабинете: пауза, изменение параметров, отмена с удерживающим предложением.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5.3 Личный кабинет и удержание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История заказов и повторный заказ в 1 клик.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Блок бонусов/программы лояльности и реферальная ссылка.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5.4 Страница для оптовых покупателей (B2B) и форма обратной связи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Отдельная страница для привлечения оптовых клиентов — работает параллельно с розницей и должна быть визуально отделена от неё (другой тон подачи: сроки, объёмы, условия — а не вкусовые истории).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Блок с условиями сотрудничества: минимальная партия (например, от 10 кг), логика ценообразования от объёма, сроки поставки.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Каталог/перечень позиций, доступных для оптовой закупки — можно переиспользовать карточки основного каталога с флагом «доступно для опта».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Форма обратной связи со следующими полями: имя, название компании, телефон и/или email, тип бизнеса (кофейня/ресторан/отель/офис/другое — выпадающий список или чекбоксы), интересующий объём/позиции, комментарий.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После отправки — подтверждение на экране («заявка принята, менеджер свяжется в течение X часов») и автоматическое уведомление ответственному менеджеру (email/CRM/Telegram — уточнить канал у разработчика).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Желательно поле для прикрепления файла (спецификация/бриф) для клиентов с нестандартными запросами — опционально, обсудить с разработчиком целесообразность на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Согласие на обработку персональных данных — обязательный чекбокс перед отправкой, ссылка на политику конфиденциальности.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Форма для опта — это не то же самое, что общая форма на странице «Контакты» (раздел 4): у формы для опта другой набор полей и другой адресат обработки заявки (отдел продаж B2B, а не общая поддержка). Дизайнер и разработчик должны развести эти два потока заявок в CRM, иначе оптовые лиды будут теряться среди розничных обращений.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5.5 Прочее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Форма подписки на email/Telegram с понятным оффером (не просто «подпишитесь на новости»).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Интеграция отзывов (текстовых и, желательно, с фото).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Блоки под интеграцию с CRM/аналитикой (форма заявки, событийная разметка кнопок для последующей настройки Яндекс.Метрики/GA4).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6. Требования к дизайну и стилю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6.1 Брендбук — основа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Логотип, цветовая палитра (основная и дополнительная) и шрифтовая пара берутся строго из прилагаемого брендбука.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Если в брендбуке не хватает адаптаций логотипа (например, для тёмного фона, для фавикона, для соцсетей) — дизайнер готовит их сам в рамках айдентики бренда, не придумывая новый стиль.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Все состояния интерфейса (кнопки, ссылки, формы, ошибки) должны быть построены на палитре брендбука, включая семантические цвета (успех/ошибка/предупреждение), даже если их нет в исходном брендбуке — предложить гармоничные оттенки.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Уточнение: цветовая палитра и шрифтовая пара уже подтверждены — они зафиксированы в файле aljar-tech-zadanie.pdf (раздел «Цветовая система» и «Типографика»), который используется как фактический источник для этого блока брендбука. Актуальные значения — в таблице ниже. Это не референс стороннего бренда, а рабочие токены проекта.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650"/>
      </w:tblGrid>
      <w:tr>
        <w:trPr>
          <w:tblHeader/>
        </w:trPr>
        <w:tc>
          <w:tcPr>
            <w:tcW w:type="dxa" w:w="20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22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6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--paper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#FCFAF7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Фон страницы (тёплый белый) → bg/base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--ice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#F1FAFC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Секция микролотов → bg/elevated (вариант 1)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--sand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#F6EEE3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Секции «Наследие» и «Для бизнеса» → bg/elevated (вариант 2)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--sky / --baby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#DCF0F7 / #A9DCEF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Подложки изображений (не текстовый фон)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--tiffany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#0ABAB5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Акцент: ховер, заголовки, логотип в футере → accent/primary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--petrol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#14343C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Основной текст → text/primary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--grey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#6C858C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Второстепенный текст → text/muted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--line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#E0E7E8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Линии и границы → border</w:t>
            </w:r>
          </w:p>
        </w:tc>
      </w:tr>
    </w:tbl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Семантические цвета (успех/ошибка/предупреждение) в источнике не заданы — дизайнер предлагает оттенки, гармоничные с --tiffany/--petrol, на утверждение перед отрисовкой состояний форм и уведомлений (см. раздел 5).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Шрифты: ABC Diatype и Neue Montreal, фолбэк — Golos Text (бесплатный, с поддержкой кириллицы, уже используется как временный шрифт на текущем сайте). Масштаб: микро-подпись 10.5px/трекинг 0.20em/капитель; навигация 13px; основной текст clamp(15px, 1.1vw, 17px); заголовок секции clamp(30px, 3.4vw, 54px); заголовок героя clamp(44px, 7.2vw, 104px); крупный акцент clamp(56px, 9.6vw, 150px). Заголовки — насыщенность 500, трекинг -0.035em, интерлиньяж 1.02.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Лицензия на ABC Diatype и Neue Montreal для веба ещё не подтверждена (см. раздел 12) — до её оформления макеты и вёрстка используют фолбэк Golos Text, чтобы не блокировать работу.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6.2 Тенденции 2026 года, которые стоит учитывать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Не нужно применять все тренды сразу — выбрать 2–3, которые органично усиливают характер бренда, и реализовать их качественно, а не поверхностно.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Сторителлинг как структура сайта: главная страница выстраивается как последовательное повествование (от зерна к чашке), а не как набор несвязанных блоков.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Осознанный минимализм: простая сетка, много воздуха, один-два акцентных цвета, но с выразительной, «характерной» типографикой — а не безликий шаблонный стиль.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Органические формы: мягкие линии, скругления, естественные текстуры (зерно, дерево, бумага) вместо строгих прямых углов — уместно для fooд/крафтового позиционирования.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Честный, ненавязчивый UX: без агрессивных поп-апов и тёмных паттернов; прозрачная подача цены, состава подписки, условий отмены.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Лёгкие микровзаимодействия вместо тяжёлого видео на фоне: анимации при скролле, ховер-эффекты, плавные переходы — без ущерба скорости загрузки.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Сочетание живой съёмки производства с аккуратной графикой/иллюстрацией (в том числе AI-сгенерированной, если это уместно бренду) для баланса «человечности» и современности.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Гиперперсонализация точек входа: например, разные акценты на главной для новых и вернувшихся посетителей (технически — на стороне платформы, в дизайне — предусмотреть варианты блоков).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6.3 Фотостиль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Приоритет — собственная предметная и репортажная съёмка (зерно, обжарочный цех, упаковка, чашка), а не стоковые фото кофе.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Единая цветокоррекция и стиль съёмки для всех разделов сайта.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Подготовить ТЗ на съёмку/референсы ракурсов отдельным приложением, если фотобанк ещё не готов.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Решение по проекту: пока реальной съёмки нет, дизайнер работает с плейсхолдерами точных пропорций (см. раздел 1.3 таблицу пропорций) и самостоятельно готовит рекомендации — какие именно кадры нужны взамен текущих демо-заглушек с aljar.ru (список ракурсов, что в кадре, стиль света и подачи). Эти рекомендации — часть работы дизайнера по этому ТЗ, а не отдельный внешний запрос к заказчику. Финальную съёмку по этим рекомендациям заказывает заказчик.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7. Технические требования к макетам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Mobile-first: сначала прорабатывается мобильная версия, затем адаптация под десктоп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Разрешения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Desktop — 1440 px (+ проверка на 1920 px), Tablet — 768 px, Mobile — 375–390 px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Сетка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12-колоночная сетка для десктопа с чётко заданными отступами и брейкпоинтами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Скорость/производительность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Минимум тяжёлых фоновых видео; изображения — с расчётом на форматы WebP/AVIF; анимации не должны требовать сложных скриптов там, где достаточно CSS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Доступность (a11y)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Контраст текста не ниже AA по WCAG, читаемый размер шрифта, понятные состояния фокуса для интерактивных элементов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SEO-логика в макете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Предусмотреть место под заголовки H1–H3 по иерархии, хлебные крошки в каталоге и блоге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Состояния интерфейса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Для ключевых экранов — пустые состояния, состояния загрузки, ошибки форм, подтверждение оформления заказа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Платформа разработки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Сайт будет реализован на Bitrix или Laravel (кастомная разработка) — решение принимается параллельно с дизайном. Независимо от выбора, макеты должны быть самодостаточными: полная спецификация отступов, состояний и компонентов, без расчёта на «встроенные» шаблоны CMS</w:t>
            </w:r>
          </w:p>
        </w:tc>
      </w:tr>
    </w:tbl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Если платформой будет выбран Laravel — ограничений на дизайн со стороны CMS нет, но макеты должны покрывать 100% состояний интерфейса, так как вёрстка делается с нуля. Если Bitrix — до начала отрисовки уточнить у разработчика, какие блоки можно закрыть готовыми модулями (каталог, корзина), чтобы не проектировать избыточные кастомные решения там, где это увеличит стоимость разработки без выигрыша для пользователя.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8. Референсы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Ниже — референсы, утверждённые заказчиком на старте. Дизайнер может дополнить список 2–3 собственными референсами на этапе брифинга — важно согласовать их до старта отрисовки, чтобы не расходиться в ожиданиях по стилю.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origincoffee.co.uk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Один из ведущих спешелти-обжарщиков Великобритании (B Corp, 20+ лет на рынке). Смотреть на: витрину подписки как на полноценный отдельный раздел с разными типами (по способу заваривания, подарочная, офисная), квиз для подбора кофе под вкус клиента, встроенные рейтинги/отзывы прямо в карточках, блок сторителлинга про происхождение и устойчивое развитие на главной.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onyxcoffeelab.eu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Один из самых титулованных крафтовых обжарщиков США (награды Sprudge Design Awards, Webby Awards за e-commerce). Смотреть на: смелую editorial-подачу с видео вместо статичных баннеров, витрину наград/социального доказательства как отдельный визуальный блок, чёткое разделение «розница / подписка / опт» уже в верхнем меню, сильный тон бренда в текстах (не нейтральный, а с характером).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shop.tastycoffee.ru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Крупнейший российский спешелти-магазин (дизайн — Студия Артемия Лебедева), близкий рынок и аудитория. Смотреть на: подписку как отдельный полноценный пункт каталога наравне с кофе/чаем/акссесуарами, а не спрятанную функцию; встроенные рейтinги и счётчик отзывов прямо на карточке товара в каталоге; блок «Полная открытость» — круглосуточная трансляция из цеха обжарки как приём для доверия (сильно перекликается с нашим разделом 6.2 про честный UX и сторителлинг); отдельные точки входа для офисных закупок и опта уже в футере, не смешанные с розницей; вспомогательные инструменты (конвертер помолов) как элемент экспертности бренда.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9. Этапы работы и результат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7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 Брифинг и анализ брендбука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Утверждённое понимание стиля, референсов и структуры сайта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2. Прототип (wireframe)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Схемы ключевых страниц без визуального стиля — логика блоков и приоритеты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3. Дизайн-концепция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1–2 варианта визуального стиля главной страницы на основе брендбука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4. Дизайн ключевых страниц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Главная, каталог, карточка товара, подписка, личный кабинет, оформление заказа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5. Адаптация под мобильные и планшет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Полный комплект экранов для всех брейкпоинтов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6. Передача в разработку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Готовый файл Figma с сеткой, спецификацией отступов, экспортированными ассетами</w:t>
            </w:r>
          </w:p>
        </w:tc>
      </w:tr>
    </w:tbl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10. Формат сдачи макетов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Рабочий файл в Figma с открытым доступом на комментирование/редактирование для заказчика.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Единая система стилей внутри файла (компоненты кнопок, полей, карточек) — не разрозненные артборды.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Экспортированные ассеты (иконки — SVG, растровые изображения — оптимизированные PNG/WebP).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Краткая спецификация для разработчика: отступы, брейкпоинты, поведение адаптивных блоков.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11. Сроки и бюджет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Срок сдачи прототипа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Срок сдачи финальных макетов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Бюджет проекта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Формат оплаты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____________</w:t>
            </w:r>
          </w:p>
        </w:tc>
      </w:tr>
    </w:tbl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12. Открытые вопросы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Список пунктов, по которым решение ещё не принято или данные ещё не переданы дизайнеру. Дизайнер отмечает статус (закрыт/требует уточнения) по ходу работы; на месте открытых пунктов в макете — заглушки, а не финальный контент.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50"/>
      </w:tblGrid>
      <w:tr>
        <w:trPr>
          <w:tblHeader/>
        </w:trPr>
        <w:tc>
          <w:tcPr>
            <w:tcW w:type="dxa" w:w="48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5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Финальный розничный прайс по всем позициям каталога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Структура и ориентировочные цены закрыты — 10 позиций получены с aljar.ru (Приложение А). Финальность цен к запуску нового сайта подтвердить с заказчиком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Платформа разработки — Bitrix или Laravel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дизайн (решение заказчика). Учесть: текущий сайт на InSales — потребуется выгрузка каталога и медиа при миграции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Фотобанк: собственная съёмка зерна, цеха обжарки, упаковки, лайфстайл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дизайн — работа идёт с плейсхолдерами. Дизайнер готовит рекомендации по съёмке (раздел 6.3), заказчик организует съёмку по ним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Логотип и брендбук (цвета, шрифты) в финальной версии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Палитра и шрифты подтверждены (см. раздел 6.1). Нужны: файлы логотипа (SVG, инверсия, знак, favicon), tone of voice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Лицензирование выбранных шрифтов (если не системные/бесплатные)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Уточняется бюджет и сроки покупки лицензии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Ссылки на реальные аккаунты в соцсетях (сейчас — заглушки)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Требуется от заказчика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Способы оплаты и доставки, которые будут интегрированы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дизайн — закладывается типовой экран (карта онлайн + стандартный выбор доставки/ПВЗ). Интеграции уточняются с разработчиком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Параметры модуля подписки: доступные частоты, объёмы, логика скидок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См. раздел 5.2 — финальные значения нужно закрепить до отрисовки экрана подписки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Юридические документы (оферта, политика конфиденциальности)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Требуются финальные тексты для страницы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Необходимость мультиязычной версии сайта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предусмотрено ТЗ, уточнить при наличии экспортных планов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Канал уведомлений менеджера по опту о новой заявке (email/CRM/Telegram)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Уточняется у разработчика/отдела продаж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Наличие логотипов действующих оптовых клиентов для раздела «кейсы»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Уточняется — на старте раздел можно скрыть до появления кейсов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Условия опта: минимальная партия, цены от объёма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На текущем сайте (страница «Для бизнеса») цифры не указаны — требуются от заказчика для нового сайта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Точные условия подписки: частоты доставки, размер скидки, правила паузы/отмены, dunning-логика, можно ли менять сорт от доставки к доставке, есть ли пробная коробка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старт: на этапе дизайна используются ориентировочные значения из раздела 5.2, финальные цифры уточняются и могут корректироваться в процессе вёрстки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Способ авторизации на сайте (телефон + код / email / вход через соцсети)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дизайн — по умолчанию закладывается вход по телефону (наиболее частый паттерн в РФ e-commerce, подтверждается формами текущего сайта — везде используется телефон, не email). Финализируется с разработчиком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Платёжные провайдеры с поддержкой рекуррентных списаний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дизайн — типовой экран оплаты картой закладывается по умолчанию. Конкретный провайдер уточняется с разработчиком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Службы доставки, зоны покрытия и стоимость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блокирует дизайн — закладывается стандартный шаг чекаута (курьер/ПВЗ/почта). Конкретные службы уточняются с разработчиком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Анти-референсы: 2–3 сайта, стиль которых точно не подходит бренду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Не собраны — полезны не меньше, чем референсы из раздела 8</w:t>
            </w:r>
          </w:p>
        </w:tc>
      </w:tr>
    </w:tbl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13. Приложение А. Данные с текущего сайта (aljar.ru)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Собрано с действующего сайта в качестве отправной точки. Это черновой контент, а не финальные тексты для нового сайта — используется дизайнером как содержательный плейсхолдер и ориентир по тону, пока не согласованы окончательные формулировки.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Платформа текущего сайта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Действующий сайт работает на InSales (SaaS-конструктор интернет-магазинов) — это отдельная платформа, не Bitrix и не Laravel. При переходе на новую платформу потребуется выгрузка каталога товаров и медиафайлов из административной панели InSales (обычно доступен экспорт в CSV/XML и прямая выгрузка изображений).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Контакты (подтверждены, актуальны)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8 (985) 137-92-35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8 (906) 767-47-25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Текущий ассортимент и цены (полный список — 10 SKU, получено с /collection/new)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700"/>
        <w:gridCol w:w="2950"/>
      </w:tblGrid>
      <w:tr>
        <w:trPr>
          <w:tblHeader/>
        </w:trPr>
        <w:tc>
          <w:tcPr>
            <w:tcW w:type="dxa" w:w="47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17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(от)</w:t>
            </w:r>
          </w:p>
        </w:tc>
        <w:tc>
          <w:tcPr>
            <w:tcW w:type="dxa" w:w="29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Ссылка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смесь арабика 100% Pink Bourbon &amp; Mojiana NY2 FC 16/18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700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/product/molotyy-kofe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Pink Bourbon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1 050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/product/80arabika-20-robusta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Cattura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800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/product/60-arabika-40-robusta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Cerrado NY2 FC 16/18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600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/product/brazilskiy-mojiana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Geisha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1 100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/product/70-arabika-30-robusta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Mojiana NY2 FC 16/18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620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/product/efiopskiy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Sul De Minas NY2 FC 16/18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575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/product/brazilskiy-cerrado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арабика 100% Sidamo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525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/product/kolumbiyskiy-rozovyy-burbon-brazilskiy-cerrado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в зёрнах смесь Intensive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525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/product/kofe-v-zernah-smes-intensive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Кофе молотый арабика Al Jar Coffee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550 ₽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/product/kofe-molotyy-arabika-aljar-coffee</w:t>
            </w:r>
          </w:p>
        </w:tc>
      </w:tr>
    </w:tbl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Все 10 позиций имеют одинаковую структуру вариантов: вес (250г / 500г / 1кг) × помол (под турку / не молоть / под френч-пресс) — то есть 9 вариантов на карточку. Это закрывает вопрос «объёмов» для карточки товара и селектора вариантов в разделе 5.1: карточка должна поддерживать двойной выбор (вес + помол), а не один параметр.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Важная оговорка по качеству контента: количество позиций и цены — реальные и годятся для дизайна. Но фото и описания — демо-контент из шаблона InSales, а не финальные материалы бренда. Пример с карточки «Кофе молотый арабика Al Jar Coffee»: описание — «Смесь из трёх этапов бразильской обжарки кофе» (шаблонная заглушка, не относится к конкретному сорту); характеристика «Бренд: Altavolo» — явно демо-значение темы, не имеющее отношения к кофе; второе изображение товара — это буквально файл download.png (иконка-заглушка), а не фото упаковки. У большинства из 10 карточек на самом деле используется один и тот же файл фотографии (различается только параметр сжатия в URL) — то есть визуально это один и тот же снимок, а не индивидуальная съёмка каждого сорта. Вывод: структуру каталога (названия, цены, варианты) можно и нужно использовать в дизайне уже сейчас, а фотоконтент и тексты описаний — по-прежнему нельзя считать финальными (см. раздел 12 и Приложение Б).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Названный на главной странице «специальный символ, указывающий на рекомендуемый способ использования» (под что пить каждый сорт: эспрессо / фильтр / турка) в статической выгрузке страницы не считывается — это, вероятно, иконка, отрисованная скриптом. Дизайнер может заложить в карточку товара место под такую иконку/бейдж способа приготовления по аналогии, не дожидаясь точных значений по каждому SKU — сам факт наличия этого поля в контент-модели уже подтверждён замыслом текущего сайта.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Текст «О бренде» (черновой, для ориентира по тону)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С XVI века кофе в Ливане является частью культуры, знаком уважения и живой традицией. Al Jar Coffee продолжает эту традицию в современном формате — это семейный бренд, основанный на опыте, внимании к деталям и любви к кофе. Компания специализируется на эспрессо и ливанском кофе, также производит кофе для гейзерной кофеварки, френч-пресса, фильтра и турки (арабской и турецкой). На российский рынок бренд пришёл с многолетним опытом работы на Ближнем Востоке.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Текст «Для бизнеса» (черновой)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Действующая страница ориентирована на два сегмента — кофейни и офисы. Для кофеен акцент на персонализированный подбор профиля обжарки под концепцию заведения, стабильность поставок и логистику. Для офисов — персонализированные программы поставки под уровень потребления команды. Конкретные цифры (минимальная партия, цены от объёма) на текущей странице не указаны — это остаётся открытым вопросом (см. раздел 12) и одна из точек, которую новый сайт должен закрыть явно, в отличие от текущего.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Формы обратной связи на текущем сайте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«Напишите нам»: Имя, Телефон, Сообщение — без поля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«Предзаказ»: Имя, Телефон, согласие с офertой и политикой конфиденциальности.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118"/>
          <w:sz w:val="21"/>
          <w:szCs w:val="21"/>
        </w:rPr>
        <w:t xml:space="preserve">«Заказ в один клик»: Имя, Телефон, согласие с офертой, комментарий.</w:t>
      </w:r>
    </w:p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Во всех формах текущего сайта используется только телефон, без email — это характерно для российского e-commerce и стоит сохранить как паттерн в новых формах (в том числе в форме для оптовых покупателей из раздела 5.4), сделав телефон обязательным, а email — опциональным полем.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Другая функциональность, замеченная на текущем сайте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На карточке товара предусмотрена оплата частями (сплит-платёж на 4 части каждые 2 недели, по аналогии с BNPL-сервисами) — это готовая функция темы InSales, а не обязательное требование ТЗ, но она может быть интересна как способ повышения среднего чека на новом сайте. Отмечаю как идею на рассмотрение, не как требование.</w:t>
      </w:r>
    </w:p>
    <w:p>
      <w:pPr>
        <w:pStyle w:val="Heading2"/>
        <w:spacing w:after="120" w:before="280"/>
      </w:pPr>
      <w:r>
        <w:rPr>
          <w:b/>
          <w:bCs/>
          <w:color w:val="6F4E37"/>
          <w:sz w:val="24"/>
          <w:szCs w:val="24"/>
        </w:rPr>
        <w:t xml:space="preserve">Важное отличие нового сайта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На текущем сайте отсутствует модель подписки — только разовая покупка и предзаказ. Модуль подписки (раздел 5.2) — принципиально новая функциональность, которую нужно спроектировать с нуля, а не адаптировать существующую логику.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14. Приложение Б. Статус входных данных для дизайн-пайплайна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Дизайнер прислал операционный пайплайн производства макетов с чёткими требованиями к входным данным (раздел 1 его документа) и правилом: агент останавливается и запрашивает данные со статусом BLOCKER, а не выдумывает их. Ниже — сверка этих требований с тем, что уже есть по проекту на данный момент.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150"/>
      </w:tblGrid>
      <w:tr>
        <w:trPr>
          <w:tblHeader/>
        </w:trPr>
        <w:tc>
          <w:tcPr>
            <w:tcW w:type="dxa" w:w="33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Блок входных данных</w:t>
            </w:r>
          </w:p>
        </w:tc>
        <w:tc>
          <w:tcPr>
            <w:tcW w:type="dxa" w:w="19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 по пайплану</w:t>
            </w:r>
          </w:p>
        </w:tc>
        <w:tc>
          <w:tcPr>
            <w:tcW w:type="dxa" w:w="41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Текущее состояние по проекту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1.1 Бренд: логотип, палитра, шрифты + лицензия, tone of voice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Частично закрыт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Палитра и шрифтовая пара подтверждены (aljar-tech-zadanie.pdf, см. раздел 6.1). Остаются открытыми: файлы логотипа в форматах SVG (адаптации), лицензия на шрифты для веба, tone of voice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1.2 Каталог: полный список SKU с ценами, атрибутами, наличием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Структура закрыта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Получен полный список 10 SKU с ценами и структурой вариантов вес×помол напрямую с aljar.ru (см. Приложение А). Открыт только контент: описания и фото — демо-заглушки темы InSales, не финальные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1.3 Фотоконтент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ASSUMABLE (по решению заказчика)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Заказчик подтвердил: не блокирует дизайнера. Работа идёт с плейсхолдерами точных пропорций (раздел 1.3 пайплайна), дизайнер параллельно готовит рекомендации — что именно снимать взамен демо-заглушек (см. обновлённый раздел 6.3)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1.4 Механика подписки: тарифы, скидка, паузы/отмена, dunning, смена сорта, пробная коробка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ASSUMABLE (по решению заказчика)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Заказчик подтвердил: на этапе дизайна и вёрстки допустимо использовать ориентировочные значения (например, из раздела 5.2 этого ТЗ), финальные цифры уточняются и могут быть скорректированы в процессе вёрстки без блокировки старта работ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1.5 Платформа (Bitrix/Laravel)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ASSUMABLE (по решению заказчика)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Заказчик подтвердил: платформа не должна блокировать дизайнера. Макеты проектируются по стандартным паттернам e-commerce, независимым от конкретной платформы (см. раздел 7); окончательный выбор платформы уточняется параллельно и адаптируется на этапе вёрстки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1.5 Платёжные провайдеры с рекуррентом, службы доставки, авторизация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ASSUMABLE (по решению заказчика)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Заказчик подтвердил: дизайнер закладывает типовые экраны (стандартная оплата картой, стандартный выбор способа доставки, вход по телефону — самый частый паттерн в РФ e-commerce, подтверждается формами на текущем сайте, см. выше). Конкретные интеграции уточняются с разработчиком и не меняют структуру экрана принципиально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1.5 Юридические страницы (оферта, политика, реквизиты)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ASSUMABLE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На текущем сайте есть готовая оферта (aljar.ru/page/oferta) — можно использовать как черновую основу для нового сайта, финальную версию подтвердить с заказчиком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1.6 Референсы и анти-референсы, метрики успеха, сроки/бюджет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ASSUMABLE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118"/>
                <w:sz w:val="20"/>
                <w:szCs w:val="20"/>
              </w:rPr>
              <w:t xml:space="preserve">Референсы собраны (раздел 8), анти-референсы — нет. Сроки/бюджет — плейсхолдеры в разделе 11</w:t>
            </w:r>
          </w:p>
        </w:tc>
      </w:tr>
    </w:tbl>
    <w:p>
      <w:pPr>
        <w:shd w:fill="F4EFEA" w:val="clear"/>
        <w:spacing w:after="160" w:before="60"/>
      </w:pPr>
      <w:r>
        <w:rPr>
          <w:i/>
          <w:iCs/>
          <w:color w:val="6B6B6B"/>
          <w:sz w:val="20"/>
          <w:szCs w:val="20"/>
        </w:rPr>
        <w:t xml:space="preserve">По правилам самого пайплайна дизайнера: пока BLOCKER-пункты не закрыты, агент вправе работать только в режиме «дизайн-гипотезы» на вымышленных, явно помеченных данных. С учётом решения заказчика не блокировать дизайнера ни платформой/оплатой/доставкой/авторизацией, ни цифрами подписки, ни отсутствием финального фотобанка — открытых BLOCKER-пунктов для старта отрисовки P0-экранов не осталось. Дизайнер работает с плейсхолдерами точных пропорций везде, где нет реальных фото (герой на главной, карточка товара, «Наследие»/«Производство»), и параллельно готовит собственные рекомендации по съёмке — какие именно кадры нужны взамен текущих демо-заглушек. Единственное, что по-прежнему нельзя передавать в разработку без замены на реальные данные — это финальные тексты описаний и сама фотосъёмка (раздел 14 пайплайна: режим «дизайн-гипотезы» готовит визуальное направление, но не финальный пакет).</w:t>
      </w:r>
    </w:p>
    <w:p>
      <w:pPr>
        <w:pStyle w:val="Heading1"/>
        <w:pBdr>
          <w:bottom w:val="single" w:color="6F4E37" w:sz="6" w:space="4"/>
        </w:pBdr>
        <w:spacing w:after="200" w:before="400"/>
      </w:pPr>
      <w:r>
        <w:rPr>
          <w:b/>
          <w:bCs/>
          <w:color w:val="2B2118"/>
          <w:sz w:val="30"/>
          <w:szCs w:val="30"/>
        </w:rPr>
        <w:t xml:space="preserve">15. Контакты для брифинга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Ответственный со стороны заказчика: ____________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Telegram / почта для связи: ____________</w:t>
      </w:r>
    </w:p>
    <w:p>
      <w:pPr>
        <w:spacing w:after="120"/>
      </w:pPr>
      <w:r>
        <w:rPr>
          <w:i w:val="false"/>
          <w:iCs w:val="false"/>
          <w:color w:val="2B2118"/>
          <w:sz w:val="21"/>
          <w:szCs w:val="21"/>
        </w:rPr>
        <w:t xml:space="preserve">Приложения к ТЗ: 1) Брендбук (цвета, шрифты, логотип). 2) Список референсов. 3) Фотобанк / ТЗ на съёмку (при наличии).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стр.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ТЗ на разработку дизайна сайта · кофейный бренд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  <w:lvl w:ilvl="1" w15:tentative="1">
      <w:start w:val="1"/>
      <w:numFmt w:val="bullet"/>
      <w:lvlText w:val="•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2026-08-19T08:55:38.670Z</dcterms:created>
  <dcterms:modified xsi:type="dcterms:W3CDTF">2026-08-19T08:55:38.671Z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