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12"/>
        </w:pBdr>
        <w:spacing w:after="0" w:before="900"/>
        <w:jc w:val="center"/>
      </w:pPr>
      <w:r>
        <w:rPr>
          <w:b/>
          <w:bCs/>
          <w:color w:val="1F3864"/>
          <w:sz w:val="44"/>
          <w:szCs w:val="44"/>
        </w:rPr>
        <w:t xml:space="preserve">SAYT TAHLILI HISOBOTI</w:t>
      </w:r>
    </w:p>
    <w:p>
      <w:pPr>
        <w:spacing w:after="40" w:before="160"/>
        <w:jc w:val="center"/>
      </w:pPr>
      <w:r>
        <w:rPr>
          <w:i/>
          <w:iCs/>
          <w:color w:val="595959"/>
          <w:sz w:val="24"/>
          <w:szCs w:val="24"/>
        </w:rPr>
        <w:t xml:space="preserve">Google PageSpeed Insights (Lighthouse) asosida front-end tahlili</w:t>
      </w:r>
    </w:p>
    <w:p>
      <w:pPr>
        <w:spacing w:after="20" w:before="280"/>
        <w:jc w:val="center"/>
      </w:pPr>
      <w:r>
        <w:rPr>
          <w:b/>
          <w:bCs/>
          <w:sz w:val="22"/>
          <w:szCs w:val="22"/>
        </w:rPr>
        <w:t xml:space="preserve">Sayt: </w:t>
      </w:r>
      <w:r>
        <w:rPr>
          <w:color w:val="2E5496"/>
          <w:sz w:val="22"/>
          <w:szCs w:val="22"/>
        </w:rPr>
        <w:t xml:space="preserve">https://murojaat.byurokratiyasiz2030.uz/</w:t>
      </w:r>
    </w:p>
    <w:p>
      <w:pPr>
        <w:spacing w:after="20"/>
        <w:jc w:val="center"/>
      </w:pPr>
      <w:r>
        <w:rPr>
          <w:color w:val="595959"/>
          <w:sz w:val="20"/>
          <w:szCs w:val="20"/>
        </w:rPr>
        <w:t xml:space="preserve">Rejim: Mobil (Moto G Power emulyatsiyasi, sekin 4G) · Lighthouse 13.4.1</w:t>
      </w:r>
    </w:p>
    <w:p>
      <w:pPr>
        <w:spacing w:after="20"/>
        <w:jc w:val="center"/>
      </w:pPr>
      <w:r>
        <w:rPr>
          <w:color w:val="595959"/>
          <w:sz w:val="20"/>
          <w:szCs w:val="20"/>
        </w:rPr>
        <w:t xml:space="preserve">O‘lchangan: 2026-yil 18-sentabr, 18:12 (GMT+5)</w:t>
      </w:r>
    </w:p>
    <w:p>
      <w:pPr>
        <w:spacing w:after="20"/>
        <w:jc w:val="center"/>
      </w:pPr>
      <w:r>
        <w:rPr>
          <w:color w:val="595959"/>
          <w:sz w:val="22"/>
          <w:szCs w:val="22"/>
        </w:rPr>
        <w:t xml:space="preserve">Tayyorladi: ______________     Sana: ______________</w:t>
      </w:r>
    </w:p>
    <w:p>
      <w:pPr>
        <w:pStyle w:val="Heading1"/>
        <w:spacing w:after="140" w:before="320"/>
      </w:pPr>
      <w:r>
        <w:rPr>
          <w:b/>
          <w:bCs/>
          <w:color w:val="1F3864"/>
          <w:sz w:val="30"/>
          <w:szCs w:val="30"/>
        </w:rPr>
        <w:t xml:space="preserve">1. Umumiy natijalar</w:t>
      </w:r>
    </w:p>
    <w:p>
      <w:pPr>
        <w:spacing w:after="120" w:line="276"/>
      </w:pPr>
      <w:r>
        <w:rPr>
          <w:sz w:val="22"/>
          <w:szCs w:val="22"/>
        </w:rPr>
        <w:t xml:space="preserve">Google PageSpeed Insights (mobil rejim) tahlili natijalari. Ball: 90–100 yashil (yaxshi), 50–89 sariq (o‘rtacha), 0–49 qizil (past).</w:t>
      </w:r>
    </w:p>
    <w:tbl>
      <w:tblPr>
        <w:tblW w:type="dxa" w:w="8600"/>
        <w:tblBorders>
          <w:top w:val="single" w:color="BBBBBB" w:sz="4"/>
          <w:left w:val="single" w:color="BBBBBB" w:sz="4"/>
          <w:bottom w:val="single" w:color="BBBBBB" w:sz="4"/>
          <w:right w:val="single" w:color="BBBBBB" w:sz="4"/>
          <w:insideH w:val="single" w:color="DDDDDD" w:sz="2"/>
          <w:insideV w:val="single" w:color="DDDDDD" w:sz="2"/>
        </w:tblBorders>
      </w:tblPr>
      <w:tblGrid>
        <w:gridCol w:w="4600"/>
        <w:gridCol w:w="2000"/>
        <w:gridCol w:w="2000"/>
      </w:tblGrid>
      <w:tr>
        <w:trPr>
          <w:tblHeader/>
        </w:trPr>
        <w:tc>
          <w:tcPr>
            <w:tcW w:type="dxa" w:w="4600"/>
            <w:shd w:fill="1F3864" w:val="clear"/>
            <w:tcMar>
              <w:top w:type="dxa" w:w="60"/>
              <w:left w:type="dxa" w:w="100"/>
              <w:bottom w:type="dxa" w:w="60"/>
              <w:right w:type="dxa" w:w="100"/>
            </w:tcMar>
          </w:tcPr>
          <w:p>
            <w:pPr>
              <w:jc w:val="left"/>
            </w:pPr>
            <w:r>
              <w:rPr>
                <w:b/>
                <w:bCs/>
                <w:color w:val="FFFFFF"/>
                <w:sz w:val="20"/>
                <w:szCs w:val="20"/>
              </w:rPr>
              <w:t xml:space="preserve">Kategoriya</w:t>
            </w:r>
          </w:p>
        </w:tc>
        <w:tc>
          <w:tcPr>
            <w:tcW w:type="dxa" w:w="2000"/>
            <w:shd w:fill="1F3864" w:val="clear"/>
            <w:tcMar>
              <w:top w:type="dxa" w:w="60"/>
              <w:left w:type="dxa" w:w="100"/>
              <w:bottom w:type="dxa" w:w="60"/>
              <w:right w:type="dxa" w:w="100"/>
            </w:tcMar>
          </w:tcPr>
          <w:p>
            <w:pPr>
              <w:jc w:val="left"/>
            </w:pPr>
            <w:r>
              <w:rPr>
                <w:b/>
                <w:bCs/>
                <w:color w:val="FFFFFF"/>
                <w:sz w:val="20"/>
                <w:szCs w:val="20"/>
              </w:rPr>
              <w:t xml:space="preserve">Ball</w:t>
            </w:r>
          </w:p>
        </w:tc>
        <w:tc>
          <w:tcPr>
            <w:tcW w:type="dxa" w:w="2000"/>
            <w:shd w:fill="1F3864" w:val="clear"/>
            <w:tcMar>
              <w:top w:type="dxa" w:w="60"/>
              <w:left w:type="dxa" w:w="100"/>
              <w:bottom w:type="dxa" w:w="60"/>
              <w:right w:type="dxa" w:w="100"/>
            </w:tcMar>
          </w:tcPr>
          <w:p>
            <w:pPr>
              <w:jc w:val="left"/>
            </w:pPr>
            <w:r>
              <w:rPr>
                <w:b/>
                <w:bCs/>
                <w:color w:val="FFFFFF"/>
                <w:sz w:val="20"/>
                <w:szCs w:val="20"/>
              </w:rPr>
              <w:t xml:space="preserve">Baho</w:t>
            </w:r>
          </w:p>
        </w:tc>
      </w:tr>
      <w:tr>
        <w:tc>
          <w:tcPr>
            <w:tcW w:type="dxa" w:w="4600"/>
            <w:tcMar>
              <w:top w:type="dxa" w:w="60"/>
              <w:left w:type="dxa" w:w="100"/>
              <w:bottom w:type="dxa" w:w="60"/>
              <w:right w:type="dxa" w:w="100"/>
            </w:tcMar>
          </w:tcPr>
          <w:p>
            <w:pPr>
              <w:jc w:val="left"/>
            </w:pPr>
            <w:r>
              <w:rPr>
                <w:b w:val="false"/>
                <w:bCs w:val="false"/>
                <w:color w:val="000000"/>
                <w:sz w:val="20"/>
                <w:szCs w:val="20"/>
              </w:rPr>
              <w:t xml:space="preserve">Производительность (Tezlik / Performance)</w:t>
            </w:r>
          </w:p>
        </w:tc>
        <w:tc>
          <w:tcPr>
            <w:tcW w:type="dxa" w:w="2000"/>
            <w:tcMar>
              <w:top w:type="dxa" w:w="60"/>
              <w:left w:type="dxa" w:w="100"/>
              <w:bottom w:type="dxa" w:w="60"/>
              <w:right w:type="dxa" w:w="100"/>
            </w:tcMar>
          </w:tcPr>
          <w:p>
            <w:pPr>
              <w:jc w:val="center"/>
            </w:pPr>
            <w:r>
              <w:rPr>
                <w:b/>
                <w:bCs/>
                <w:color w:val="000000"/>
                <w:sz w:val="20"/>
                <w:szCs w:val="20"/>
              </w:rPr>
              <w:t xml:space="preserve">61 / 100</w:t>
            </w:r>
          </w:p>
        </w:tc>
        <w:tc>
          <w:tcPr>
            <w:tcW w:type="dxa" w:w="2000"/>
            <w:tcMar>
              <w:top w:type="dxa" w:w="60"/>
              <w:left w:type="dxa" w:w="100"/>
              <w:bottom w:type="dxa" w:w="60"/>
              <w:right w:type="dxa" w:w="100"/>
            </w:tcMar>
          </w:tcPr>
          <w:p>
            <w:pPr>
              <w:jc w:val="left"/>
            </w:pPr>
            <w:r>
              <w:rPr>
                <w:b/>
                <w:bCs/>
                <w:color w:val="9C6500"/>
                <w:sz w:val="20"/>
                <w:szCs w:val="20"/>
              </w:rPr>
              <w:t xml:space="preserve">Sariq — o‘rtacha</w:t>
            </w:r>
          </w:p>
        </w:tc>
      </w:tr>
      <w:tr>
        <w:tc>
          <w:tcPr>
            <w:tcW w:type="dxa" w:w="4600"/>
            <w:shd w:fill="EEF2F8" w:val="clear"/>
            <w:tcMar>
              <w:top w:type="dxa" w:w="60"/>
              <w:left w:type="dxa" w:w="100"/>
              <w:bottom w:type="dxa" w:w="60"/>
              <w:right w:type="dxa" w:w="100"/>
            </w:tcMar>
          </w:tcPr>
          <w:p>
            <w:pPr>
              <w:jc w:val="left"/>
            </w:pPr>
            <w:r>
              <w:rPr>
                <w:b w:val="false"/>
                <w:bCs w:val="false"/>
                <w:color w:val="000000"/>
                <w:sz w:val="20"/>
                <w:szCs w:val="20"/>
              </w:rPr>
              <w:t xml:space="preserve">Специальные возможности (Accessibility)</w:t>
            </w:r>
          </w:p>
        </w:tc>
        <w:tc>
          <w:tcPr>
            <w:tcW w:type="dxa" w:w="2000"/>
            <w:shd w:fill="EEF2F8" w:val="clear"/>
            <w:tcMar>
              <w:top w:type="dxa" w:w="60"/>
              <w:left w:type="dxa" w:w="100"/>
              <w:bottom w:type="dxa" w:w="60"/>
              <w:right w:type="dxa" w:w="100"/>
            </w:tcMar>
          </w:tcPr>
          <w:p>
            <w:pPr>
              <w:jc w:val="center"/>
            </w:pPr>
            <w:r>
              <w:rPr>
                <w:b/>
                <w:bCs/>
                <w:color w:val="000000"/>
                <w:sz w:val="20"/>
                <w:szCs w:val="20"/>
              </w:rPr>
              <w:t xml:space="preserve">95 / 100</w:t>
            </w:r>
          </w:p>
        </w:tc>
        <w:tc>
          <w:tcPr>
            <w:tcW w:type="dxa" w:w="2000"/>
            <w:shd w:fill="EEF2F8" w:val="clear"/>
            <w:tcMar>
              <w:top w:type="dxa" w:w="60"/>
              <w:left w:type="dxa" w:w="100"/>
              <w:bottom w:type="dxa" w:w="60"/>
              <w:right w:type="dxa" w:w="100"/>
            </w:tcMar>
          </w:tcPr>
          <w:p>
            <w:pPr>
              <w:jc w:val="left"/>
            </w:pPr>
            <w:r>
              <w:rPr>
                <w:b/>
                <w:bCs/>
                <w:color w:val="1E7B34"/>
                <w:sz w:val="20"/>
                <w:szCs w:val="20"/>
              </w:rPr>
              <w:t xml:space="preserve">Yashil — a’lo</w:t>
            </w:r>
          </w:p>
        </w:tc>
      </w:tr>
      <w:tr>
        <w:tc>
          <w:tcPr>
            <w:tcW w:type="dxa" w:w="4600"/>
            <w:tcMar>
              <w:top w:type="dxa" w:w="60"/>
              <w:left w:type="dxa" w:w="100"/>
              <w:bottom w:type="dxa" w:w="60"/>
              <w:right w:type="dxa" w:w="100"/>
            </w:tcMar>
          </w:tcPr>
          <w:p>
            <w:pPr>
              <w:jc w:val="left"/>
            </w:pPr>
            <w:r>
              <w:rPr>
                <w:b w:val="false"/>
                <w:bCs w:val="false"/>
                <w:color w:val="000000"/>
                <w:sz w:val="20"/>
                <w:szCs w:val="20"/>
              </w:rPr>
              <w:t xml:space="preserve">Рекомендации (Best Practices)</w:t>
            </w:r>
          </w:p>
        </w:tc>
        <w:tc>
          <w:tcPr>
            <w:tcW w:type="dxa" w:w="2000"/>
            <w:tcMar>
              <w:top w:type="dxa" w:w="60"/>
              <w:left w:type="dxa" w:w="100"/>
              <w:bottom w:type="dxa" w:w="60"/>
              <w:right w:type="dxa" w:w="100"/>
            </w:tcMar>
          </w:tcPr>
          <w:p>
            <w:pPr>
              <w:jc w:val="center"/>
            </w:pPr>
            <w:r>
              <w:rPr>
                <w:b/>
                <w:bCs/>
                <w:color w:val="000000"/>
                <w:sz w:val="20"/>
                <w:szCs w:val="20"/>
              </w:rPr>
              <w:t xml:space="preserve">100 / 100</w:t>
            </w:r>
          </w:p>
        </w:tc>
        <w:tc>
          <w:tcPr>
            <w:tcW w:type="dxa" w:w="2000"/>
            <w:tcMar>
              <w:top w:type="dxa" w:w="60"/>
              <w:left w:type="dxa" w:w="100"/>
              <w:bottom w:type="dxa" w:w="60"/>
              <w:right w:type="dxa" w:w="100"/>
            </w:tcMar>
          </w:tcPr>
          <w:p>
            <w:pPr>
              <w:jc w:val="left"/>
            </w:pPr>
            <w:r>
              <w:rPr>
                <w:b/>
                <w:bCs/>
                <w:color w:val="1E7B34"/>
                <w:sz w:val="20"/>
                <w:szCs w:val="20"/>
              </w:rPr>
              <w:t xml:space="preserve">Yashil — a’lo</w:t>
            </w:r>
          </w:p>
        </w:tc>
      </w:tr>
      <w:tr>
        <w:tc>
          <w:tcPr>
            <w:tcW w:type="dxa" w:w="4600"/>
            <w:shd w:fill="EEF2F8" w:val="clear"/>
            <w:tcMar>
              <w:top w:type="dxa" w:w="60"/>
              <w:left w:type="dxa" w:w="100"/>
              <w:bottom w:type="dxa" w:w="60"/>
              <w:right w:type="dxa" w:w="100"/>
            </w:tcMar>
          </w:tcPr>
          <w:p>
            <w:pPr>
              <w:jc w:val="left"/>
            </w:pPr>
            <w:r>
              <w:rPr>
                <w:b w:val="false"/>
                <w:bCs w:val="false"/>
                <w:color w:val="000000"/>
                <w:sz w:val="20"/>
                <w:szCs w:val="20"/>
              </w:rPr>
              <w:t xml:space="preserve">Поисковая оптимизация (SEO)</w:t>
            </w:r>
          </w:p>
        </w:tc>
        <w:tc>
          <w:tcPr>
            <w:tcW w:type="dxa" w:w="2000"/>
            <w:shd w:fill="EEF2F8" w:val="clear"/>
            <w:tcMar>
              <w:top w:type="dxa" w:w="60"/>
              <w:left w:type="dxa" w:w="100"/>
              <w:bottom w:type="dxa" w:w="60"/>
              <w:right w:type="dxa" w:w="100"/>
            </w:tcMar>
          </w:tcPr>
          <w:p>
            <w:pPr>
              <w:jc w:val="center"/>
            </w:pPr>
            <w:r>
              <w:rPr>
                <w:b/>
                <w:bCs/>
                <w:color w:val="000000"/>
                <w:sz w:val="20"/>
                <w:szCs w:val="20"/>
              </w:rPr>
              <w:t xml:space="preserve">83 / 100</w:t>
            </w:r>
          </w:p>
        </w:tc>
        <w:tc>
          <w:tcPr>
            <w:tcW w:type="dxa" w:w="2000"/>
            <w:shd w:fill="EEF2F8" w:val="clear"/>
            <w:tcMar>
              <w:top w:type="dxa" w:w="60"/>
              <w:left w:type="dxa" w:w="100"/>
              <w:bottom w:type="dxa" w:w="60"/>
              <w:right w:type="dxa" w:w="100"/>
            </w:tcMar>
          </w:tcPr>
          <w:p>
            <w:pPr>
              <w:jc w:val="left"/>
            </w:pPr>
            <w:r>
              <w:rPr>
                <w:b/>
                <w:bCs/>
                <w:color w:val="9C6500"/>
                <w:sz w:val="20"/>
                <w:szCs w:val="20"/>
              </w:rPr>
              <w:t xml:space="preserve">Sariq — yaxshilash mumkin</w:t>
            </w:r>
          </w:p>
        </w:tc>
      </w:tr>
      <w:tr>
        <w:tc>
          <w:tcPr>
            <w:tcW w:type="dxa" w:w="4600"/>
            <w:tcMar>
              <w:top w:type="dxa" w:w="60"/>
              <w:left w:type="dxa" w:w="100"/>
              <w:bottom w:type="dxa" w:w="60"/>
              <w:right w:type="dxa" w:w="100"/>
            </w:tcMar>
          </w:tcPr>
          <w:p>
            <w:pPr>
              <w:jc w:val="left"/>
            </w:pPr>
            <w:r>
              <w:rPr>
                <w:b w:val="false"/>
                <w:bCs w:val="false"/>
                <w:color w:val="000000"/>
                <w:sz w:val="20"/>
                <w:szCs w:val="20"/>
              </w:rPr>
              <w:t xml:space="preserve">Агентный просмотр (tajribaviy)</w:t>
            </w:r>
          </w:p>
        </w:tc>
        <w:tc>
          <w:tcPr>
            <w:tcW w:type="dxa" w:w="2000"/>
            <w:tcMar>
              <w:top w:type="dxa" w:w="60"/>
              <w:left w:type="dxa" w:w="100"/>
              <w:bottom w:type="dxa" w:w="60"/>
              <w:right w:type="dxa" w:w="100"/>
            </w:tcMar>
          </w:tcPr>
          <w:p>
            <w:pPr>
              <w:jc w:val="center"/>
            </w:pPr>
            <w:r>
              <w:rPr>
                <w:b/>
                <w:bCs/>
                <w:color w:val="000000"/>
                <w:sz w:val="20"/>
                <w:szCs w:val="20"/>
              </w:rPr>
              <w:t xml:space="preserve">2 / 3</w:t>
            </w:r>
          </w:p>
        </w:tc>
        <w:tc>
          <w:tcPr>
            <w:tcW w:type="dxa" w:w="2000"/>
            <w:tcMar>
              <w:top w:type="dxa" w:w="60"/>
              <w:left w:type="dxa" w:w="100"/>
              <w:bottom w:type="dxa" w:w="60"/>
              <w:right w:type="dxa" w:w="100"/>
            </w:tcMar>
          </w:tcPr>
          <w:p>
            <w:pPr>
              <w:jc w:val="left"/>
            </w:pPr>
            <w:r>
              <w:rPr>
                <w:b w:val="false"/>
                <w:bCs w:val="false"/>
                <w:color w:val="595959"/>
                <w:sz w:val="20"/>
                <w:szCs w:val="20"/>
              </w:rPr>
              <w:t xml:space="preserve">Past ahamiyat</w:t>
            </w:r>
          </w:p>
        </w:tc>
      </w:tr>
    </w:tbl>
    <w:p>
      <w:pPr>
        <w:pBdr>
          <w:left w:val="single" w:color="9C6500" w:sz="18" w:space="8"/>
        </w:pBdr>
        <w:shd w:fill="EEF2F8" w:val="clear"/>
        <w:spacing w:after="120" w:before="120"/>
      </w:pPr>
      <w:r>
        <w:rPr>
          <w:b/>
          <w:bCs/>
          <w:color w:val="9C6500"/>
          <w:sz w:val="22"/>
          <w:szCs w:val="22"/>
        </w:rPr>
        <w:t xml:space="preserve">Asosiy xulosa: </w:t>
      </w:r>
      <w:r>
        <w:rPr>
          <w:sz w:val="22"/>
          <w:szCs w:val="22"/>
        </w:rPr>
        <w:t xml:space="preserve">Sayt sifat ko‘rsatkichlari (Accessibility, Best Practices, SEO) yaxshi. Eng zaif tomon — tezlik (61). Sabab: sahifa juda "og‘ir" (~3.2 MB), asosan katta rasmlar. Bu mobil/sekin internetda sahifa juda sekin ochilishiga (LCP 16.7 s) olib keladi.</w:t>
      </w:r>
    </w:p>
    <w:p>
      <w:pPr>
        <w:pStyle w:val="Heading1"/>
        <w:spacing w:after="140" w:before="320"/>
      </w:pPr>
      <w:r>
        <w:rPr>
          <w:b/>
          <w:bCs/>
          <w:color w:val="1F3864"/>
          <w:sz w:val="30"/>
          <w:szCs w:val="30"/>
        </w:rPr>
        <w:t xml:space="preserve">2. Tezlik (Performance) — 61 / 100</w:t>
      </w:r>
    </w:p>
    <w:p>
      <w:pPr>
        <w:spacing w:after="120" w:line="276"/>
      </w:pPr>
      <w:r>
        <w:rPr>
          <w:sz w:val="22"/>
          <w:szCs w:val="22"/>
        </w:rPr>
        <w:t xml:space="preserve">Core Web Vitals — sahifa tezligining asosiy ko‘rsatkichlari (mobil, sekin 4G sharoitida):</w:t>
      </w:r>
    </w:p>
    <w:tbl>
      <w:tblPr>
        <w:tblW w:type="dxa" w:w="8600"/>
        <w:tblBorders>
          <w:top w:val="single" w:color="BBBBBB" w:sz="4"/>
          <w:left w:val="single" w:color="BBBBBB" w:sz="4"/>
          <w:bottom w:val="single" w:color="BBBBBB" w:sz="4"/>
          <w:right w:val="single" w:color="BBBBBB" w:sz="4"/>
          <w:insideH w:val="single" w:color="DDDDDD" w:sz="2"/>
          <w:insideV w:val="single" w:color="DDDDDD" w:sz="2"/>
        </w:tblBorders>
      </w:tblPr>
      <w:tblGrid>
        <w:gridCol w:w="3400"/>
        <w:gridCol w:w="1500"/>
        <w:gridCol w:w="1900"/>
        <w:gridCol w:w="1800"/>
      </w:tblGrid>
      <w:tr>
        <w:trPr>
          <w:tblHeader/>
        </w:trPr>
        <w:tc>
          <w:tcPr>
            <w:tcW w:type="dxa" w:w="3400"/>
            <w:shd w:fill="1F3864" w:val="clear"/>
            <w:tcMar>
              <w:top w:type="dxa" w:w="60"/>
              <w:left w:type="dxa" w:w="100"/>
              <w:bottom w:type="dxa" w:w="60"/>
              <w:right w:type="dxa" w:w="100"/>
            </w:tcMar>
          </w:tcPr>
          <w:p>
            <w:pPr>
              <w:jc w:val="left"/>
            </w:pPr>
            <w:r>
              <w:rPr>
                <w:b/>
                <w:bCs/>
                <w:color w:val="FFFFFF"/>
                <w:sz w:val="20"/>
                <w:szCs w:val="20"/>
              </w:rPr>
              <w:t xml:space="preserve">Ko‘rsatkich</w:t>
            </w:r>
          </w:p>
        </w:tc>
        <w:tc>
          <w:tcPr>
            <w:tcW w:type="dxa" w:w="1500"/>
            <w:shd w:fill="1F3864" w:val="clear"/>
            <w:tcMar>
              <w:top w:type="dxa" w:w="60"/>
              <w:left w:type="dxa" w:w="100"/>
              <w:bottom w:type="dxa" w:w="60"/>
              <w:right w:type="dxa" w:w="100"/>
            </w:tcMar>
          </w:tcPr>
          <w:p>
            <w:pPr>
              <w:jc w:val="left"/>
            </w:pPr>
            <w:r>
              <w:rPr>
                <w:b/>
                <w:bCs/>
                <w:color w:val="FFFFFF"/>
                <w:sz w:val="20"/>
                <w:szCs w:val="20"/>
              </w:rPr>
              <w:t xml:space="preserve">Qiymat</w:t>
            </w:r>
          </w:p>
        </w:tc>
        <w:tc>
          <w:tcPr>
            <w:tcW w:type="dxa" w:w="1900"/>
            <w:shd w:fill="1F3864" w:val="clear"/>
            <w:tcMar>
              <w:top w:type="dxa" w:w="60"/>
              <w:left w:type="dxa" w:w="100"/>
              <w:bottom w:type="dxa" w:w="60"/>
              <w:right w:type="dxa" w:w="100"/>
            </w:tcMar>
          </w:tcPr>
          <w:p>
            <w:pPr>
              <w:jc w:val="left"/>
            </w:pPr>
            <w:r>
              <w:rPr>
                <w:b/>
                <w:bCs/>
                <w:color w:val="FFFFFF"/>
                <w:sz w:val="20"/>
                <w:szCs w:val="20"/>
              </w:rPr>
              <w:t xml:space="preserve">Yaxshi chegara</w:t>
            </w:r>
          </w:p>
        </w:tc>
        <w:tc>
          <w:tcPr>
            <w:tcW w:type="dxa" w:w="1800"/>
            <w:shd w:fill="1F3864" w:val="clear"/>
            <w:tcMar>
              <w:top w:type="dxa" w:w="60"/>
              <w:left w:type="dxa" w:w="100"/>
              <w:bottom w:type="dxa" w:w="60"/>
              <w:right w:type="dxa" w:w="100"/>
            </w:tcMar>
          </w:tcPr>
          <w:p>
            <w:pPr>
              <w:jc w:val="left"/>
            </w:pPr>
            <w:r>
              <w:rPr>
                <w:b/>
                <w:bCs/>
                <w:color w:val="FFFFFF"/>
                <w:sz w:val="20"/>
                <w:szCs w:val="20"/>
              </w:rPr>
              <w:t xml:space="preserve">Baho</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First Contentful Paint (FCP)</w:t>
            </w:r>
          </w:p>
        </w:tc>
        <w:tc>
          <w:tcPr>
            <w:tcW w:type="dxa" w:w="1500"/>
            <w:tcMar>
              <w:top w:type="dxa" w:w="60"/>
              <w:left w:type="dxa" w:w="100"/>
              <w:bottom w:type="dxa" w:w="60"/>
              <w:right w:type="dxa" w:w="100"/>
            </w:tcMar>
          </w:tcPr>
          <w:p>
            <w:pPr>
              <w:jc w:val="center"/>
            </w:pPr>
            <w:r>
              <w:rPr>
                <w:b/>
                <w:bCs/>
                <w:color w:val="000000"/>
                <w:sz w:val="20"/>
                <w:szCs w:val="20"/>
              </w:rPr>
              <w:t xml:space="preserve">5.1 s</w:t>
            </w:r>
          </w:p>
        </w:tc>
        <w:tc>
          <w:tcPr>
            <w:tcW w:type="dxa" w:w="1900"/>
            <w:tcMar>
              <w:top w:type="dxa" w:w="60"/>
              <w:left w:type="dxa" w:w="100"/>
              <w:bottom w:type="dxa" w:w="60"/>
              <w:right w:type="dxa" w:w="100"/>
            </w:tcMar>
          </w:tcPr>
          <w:p>
            <w:pPr>
              <w:jc w:val="center"/>
            </w:pPr>
            <w:r>
              <w:rPr>
                <w:b w:val="false"/>
                <w:bCs w:val="false"/>
                <w:color w:val="000000"/>
                <w:sz w:val="20"/>
                <w:szCs w:val="20"/>
              </w:rPr>
              <w:t xml:space="preserve">&lt; 1.8 s</w:t>
            </w:r>
          </w:p>
        </w:tc>
        <w:tc>
          <w:tcPr>
            <w:tcW w:type="dxa" w:w="1800"/>
            <w:tcMar>
              <w:top w:type="dxa" w:w="60"/>
              <w:left w:type="dxa" w:w="100"/>
              <w:bottom w:type="dxa" w:w="60"/>
              <w:right w:type="dxa" w:w="100"/>
            </w:tcMar>
          </w:tcPr>
          <w:p>
            <w:pPr>
              <w:jc w:val="center"/>
            </w:pPr>
            <w:r>
              <w:rPr>
                <w:b/>
                <w:bCs/>
                <w:color w:val="B02418"/>
                <w:sz w:val="20"/>
                <w:szCs w:val="20"/>
              </w:rPr>
              <w:t xml:space="preserve">Past</w:t>
            </w:r>
          </w:p>
        </w:tc>
      </w:tr>
      <w:tr>
        <w:tc>
          <w:tcPr>
            <w:tcW w:type="dxa" w:w="3400"/>
            <w:shd w:fill="EEF2F8" w:val="clear"/>
            <w:tcMar>
              <w:top w:type="dxa" w:w="60"/>
              <w:left w:type="dxa" w:w="100"/>
              <w:bottom w:type="dxa" w:w="60"/>
              <w:right w:type="dxa" w:w="100"/>
            </w:tcMar>
          </w:tcPr>
          <w:p>
            <w:pPr>
              <w:jc w:val="left"/>
            </w:pPr>
            <w:r>
              <w:rPr>
                <w:b w:val="false"/>
                <w:bCs w:val="false"/>
                <w:color w:val="000000"/>
                <w:sz w:val="20"/>
                <w:szCs w:val="20"/>
              </w:rPr>
              <w:t xml:space="preserve">Largest Contentful Paint (LCP)</w:t>
            </w:r>
          </w:p>
        </w:tc>
        <w:tc>
          <w:tcPr>
            <w:tcW w:type="dxa" w:w="1500"/>
            <w:shd w:fill="EEF2F8" w:val="clear"/>
            <w:tcMar>
              <w:top w:type="dxa" w:w="60"/>
              <w:left w:type="dxa" w:w="100"/>
              <w:bottom w:type="dxa" w:w="60"/>
              <w:right w:type="dxa" w:w="100"/>
            </w:tcMar>
          </w:tcPr>
          <w:p>
            <w:pPr>
              <w:jc w:val="center"/>
            </w:pPr>
            <w:r>
              <w:rPr>
                <w:b/>
                <w:bCs/>
                <w:color w:val="000000"/>
                <w:sz w:val="20"/>
                <w:szCs w:val="20"/>
              </w:rPr>
              <w:t xml:space="preserve">16.7 s</w:t>
            </w:r>
          </w:p>
        </w:tc>
        <w:tc>
          <w:tcPr>
            <w:tcW w:type="dxa" w:w="1900"/>
            <w:shd w:fill="EEF2F8" w:val="clear"/>
            <w:tcMar>
              <w:top w:type="dxa" w:w="60"/>
              <w:left w:type="dxa" w:w="100"/>
              <w:bottom w:type="dxa" w:w="60"/>
              <w:right w:type="dxa" w:w="100"/>
            </w:tcMar>
          </w:tcPr>
          <w:p>
            <w:pPr>
              <w:jc w:val="center"/>
            </w:pPr>
            <w:r>
              <w:rPr>
                <w:b w:val="false"/>
                <w:bCs w:val="false"/>
                <w:color w:val="000000"/>
                <w:sz w:val="20"/>
                <w:szCs w:val="20"/>
              </w:rPr>
              <w:t xml:space="preserve">&lt; 2.5 s</w:t>
            </w:r>
          </w:p>
        </w:tc>
        <w:tc>
          <w:tcPr>
            <w:tcW w:type="dxa" w:w="1800"/>
            <w:shd w:fill="EEF2F8" w:val="clear"/>
            <w:tcMar>
              <w:top w:type="dxa" w:w="60"/>
              <w:left w:type="dxa" w:w="100"/>
              <w:bottom w:type="dxa" w:w="60"/>
              <w:right w:type="dxa" w:w="100"/>
            </w:tcMar>
          </w:tcPr>
          <w:p>
            <w:pPr>
              <w:jc w:val="center"/>
            </w:pPr>
            <w:r>
              <w:rPr>
                <w:b/>
                <w:bCs/>
                <w:color w:val="B02418"/>
                <w:sz w:val="20"/>
                <w:szCs w:val="20"/>
              </w:rPr>
              <w:t xml:space="preserve">Juda past</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Total Blocking Time (TBT)</w:t>
            </w:r>
          </w:p>
        </w:tc>
        <w:tc>
          <w:tcPr>
            <w:tcW w:type="dxa" w:w="1500"/>
            <w:tcMar>
              <w:top w:type="dxa" w:w="60"/>
              <w:left w:type="dxa" w:w="100"/>
              <w:bottom w:type="dxa" w:w="60"/>
              <w:right w:type="dxa" w:w="100"/>
            </w:tcMar>
          </w:tcPr>
          <w:p>
            <w:pPr>
              <w:jc w:val="center"/>
            </w:pPr>
            <w:r>
              <w:rPr>
                <w:b/>
                <w:bCs/>
                <w:color w:val="000000"/>
                <w:sz w:val="20"/>
                <w:szCs w:val="20"/>
              </w:rPr>
              <w:t xml:space="preserve">0 ms</w:t>
            </w:r>
          </w:p>
        </w:tc>
        <w:tc>
          <w:tcPr>
            <w:tcW w:type="dxa" w:w="1900"/>
            <w:tcMar>
              <w:top w:type="dxa" w:w="60"/>
              <w:left w:type="dxa" w:w="100"/>
              <w:bottom w:type="dxa" w:w="60"/>
              <w:right w:type="dxa" w:w="100"/>
            </w:tcMar>
          </w:tcPr>
          <w:p>
            <w:pPr>
              <w:jc w:val="center"/>
            </w:pPr>
            <w:r>
              <w:rPr>
                <w:b w:val="false"/>
                <w:bCs w:val="false"/>
                <w:color w:val="000000"/>
                <w:sz w:val="20"/>
                <w:szCs w:val="20"/>
              </w:rPr>
              <w:t xml:space="preserve">&lt; 200 ms</w:t>
            </w:r>
          </w:p>
        </w:tc>
        <w:tc>
          <w:tcPr>
            <w:tcW w:type="dxa" w:w="1800"/>
            <w:tcMar>
              <w:top w:type="dxa" w:w="60"/>
              <w:left w:type="dxa" w:w="100"/>
              <w:bottom w:type="dxa" w:w="60"/>
              <w:right w:type="dxa" w:w="100"/>
            </w:tcMar>
          </w:tcPr>
          <w:p>
            <w:pPr>
              <w:jc w:val="center"/>
            </w:pPr>
            <w:r>
              <w:rPr>
                <w:b/>
                <w:bCs/>
                <w:color w:val="1E7B34"/>
                <w:sz w:val="20"/>
                <w:szCs w:val="20"/>
              </w:rPr>
              <w:t xml:space="preserve">A’lo</w:t>
            </w:r>
          </w:p>
        </w:tc>
      </w:tr>
      <w:tr>
        <w:tc>
          <w:tcPr>
            <w:tcW w:type="dxa" w:w="3400"/>
            <w:shd w:fill="EEF2F8" w:val="clear"/>
            <w:tcMar>
              <w:top w:type="dxa" w:w="60"/>
              <w:left w:type="dxa" w:w="100"/>
              <w:bottom w:type="dxa" w:w="60"/>
              <w:right w:type="dxa" w:w="100"/>
            </w:tcMar>
          </w:tcPr>
          <w:p>
            <w:pPr>
              <w:jc w:val="left"/>
            </w:pPr>
            <w:r>
              <w:rPr>
                <w:b w:val="false"/>
                <w:bCs w:val="false"/>
                <w:color w:val="000000"/>
                <w:sz w:val="20"/>
                <w:szCs w:val="20"/>
              </w:rPr>
              <w:t xml:space="preserve">Cumulative Layout Shift (CLS)</w:t>
            </w:r>
          </w:p>
        </w:tc>
        <w:tc>
          <w:tcPr>
            <w:tcW w:type="dxa" w:w="1500"/>
            <w:shd w:fill="EEF2F8" w:val="clear"/>
            <w:tcMar>
              <w:top w:type="dxa" w:w="60"/>
              <w:left w:type="dxa" w:w="100"/>
              <w:bottom w:type="dxa" w:w="60"/>
              <w:right w:type="dxa" w:w="100"/>
            </w:tcMar>
          </w:tcPr>
          <w:p>
            <w:pPr>
              <w:jc w:val="center"/>
            </w:pPr>
            <w:r>
              <w:rPr>
                <w:b/>
                <w:bCs/>
                <w:color w:val="000000"/>
                <w:sz w:val="20"/>
                <w:szCs w:val="20"/>
              </w:rPr>
              <w:t xml:space="preserve">0.026</w:t>
            </w:r>
          </w:p>
        </w:tc>
        <w:tc>
          <w:tcPr>
            <w:tcW w:type="dxa" w:w="1900"/>
            <w:shd w:fill="EEF2F8" w:val="clear"/>
            <w:tcMar>
              <w:top w:type="dxa" w:w="60"/>
              <w:left w:type="dxa" w:w="100"/>
              <w:bottom w:type="dxa" w:w="60"/>
              <w:right w:type="dxa" w:w="100"/>
            </w:tcMar>
          </w:tcPr>
          <w:p>
            <w:pPr>
              <w:jc w:val="center"/>
            </w:pPr>
            <w:r>
              <w:rPr>
                <w:b w:val="false"/>
                <w:bCs w:val="false"/>
                <w:color w:val="000000"/>
                <w:sz w:val="20"/>
                <w:szCs w:val="20"/>
              </w:rPr>
              <w:t xml:space="preserve">&lt; 0.1</w:t>
            </w:r>
          </w:p>
        </w:tc>
        <w:tc>
          <w:tcPr>
            <w:tcW w:type="dxa" w:w="1800"/>
            <w:shd w:fill="EEF2F8" w:val="clear"/>
            <w:tcMar>
              <w:top w:type="dxa" w:w="60"/>
              <w:left w:type="dxa" w:w="100"/>
              <w:bottom w:type="dxa" w:w="60"/>
              <w:right w:type="dxa" w:w="100"/>
            </w:tcMar>
          </w:tcPr>
          <w:p>
            <w:pPr>
              <w:jc w:val="center"/>
            </w:pPr>
            <w:r>
              <w:rPr>
                <w:b/>
                <w:bCs/>
                <w:color w:val="1E7B34"/>
                <w:sz w:val="20"/>
                <w:szCs w:val="20"/>
              </w:rPr>
              <w:t xml:space="preserve">A’lo</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Speed Index</w:t>
            </w:r>
          </w:p>
        </w:tc>
        <w:tc>
          <w:tcPr>
            <w:tcW w:type="dxa" w:w="1500"/>
            <w:tcMar>
              <w:top w:type="dxa" w:w="60"/>
              <w:left w:type="dxa" w:w="100"/>
              <w:bottom w:type="dxa" w:w="60"/>
              <w:right w:type="dxa" w:w="100"/>
            </w:tcMar>
          </w:tcPr>
          <w:p>
            <w:pPr>
              <w:jc w:val="center"/>
            </w:pPr>
            <w:r>
              <w:rPr>
                <w:b/>
                <w:bCs/>
                <w:color w:val="000000"/>
                <w:sz w:val="20"/>
                <w:szCs w:val="20"/>
              </w:rPr>
              <w:t xml:space="preserve">6.0 s</w:t>
            </w:r>
          </w:p>
        </w:tc>
        <w:tc>
          <w:tcPr>
            <w:tcW w:type="dxa" w:w="1900"/>
            <w:tcMar>
              <w:top w:type="dxa" w:w="60"/>
              <w:left w:type="dxa" w:w="100"/>
              <w:bottom w:type="dxa" w:w="60"/>
              <w:right w:type="dxa" w:w="100"/>
            </w:tcMar>
          </w:tcPr>
          <w:p>
            <w:pPr>
              <w:jc w:val="center"/>
            </w:pPr>
            <w:r>
              <w:rPr>
                <w:b w:val="false"/>
                <w:bCs w:val="false"/>
                <w:color w:val="000000"/>
                <w:sz w:val="20"/>
                <w:szCs w:val="20"/>
              </w:rPr>
              <w:t xml:space="preserve">&lt; 3.4 s</w:t>
            </w:r>
          </w:p>
        </w:tc>
        <w:tc>
          <w:tcPr>
            <w:tcW w:type="dxa" w:w="1800"/>
            <w:tcMar>
              <w:top w:type="dxa" w:w="60"/>
              <w:left w:type="dxa" w:w="100"/>
              <w:bottom w:type="dxa" w:w="60"/>
              <w:right w:type="dxa" w:w="100"/>
            </w:tcMar>
          </w:tcPr>
          <w:p>
            <w:pPr>
              <w:jc w:val="center"/>
            </w:pPr>
            <w:r>
              <w:rPr>
                <w:b/>
                <w:bCs/>
                <w:color w:val="B02418"/>
                <w:sz w:val="20"/>
                <w:szCs w:val="20"/>
              </w:rPr>
              <w:t xml:space="preserve">Past</w:t>
            </w:r>
          </w:p>
        </w:tc>
      </w:tr>
    </w:tbl>
    <w:p>
      <w:pPr>
        <w:spacing w:after="120" w:line="276"/>
      </w:pPr>
      <w:r>
        <w:rPr>
          <w:sz w:val="22"/>
          <w:szCs w:val="22"/>
        </w:rPr>
        <w:t xml:space="preserve">Oddiy tilda: sahifadagi eng katta element (LCP) ekranga chiqishi uchun 16.7 soniya ketmoqda — bu juda sekin. Ijobiy tomoni: sahifa "sakramaydi" (CLS a’lo) va JavaScript brauzerni bloklamaydi (TBT 0).</w:t>
      </w:r>
    </w:p>
    <w:p>
      <w:pPr>
        <w:pStyle w:val="Heading2"/>
        <w:spacing w:after="100" w:before="220"/>
      </w:pPr>
      <w:r>
        <w:rPr>
          <w:b/>
          <w:bCs/>
          <w:color w:val="2E5496"/>
          <w:sz w:val="26"/>
          <w:szCs w:val="26"/>
        </w:rPr>
        <w:t xml:space="preserve">Aniqlangan sabablar (diagnostika)</w:t>
      </w:r>
    </w:p>
    <w:p>
      <w:pPr>
        <w:pStyle w:val="ListParagraph"/>
        <w:numPr>
          <w:ilvl w:val="0"/>
          <w:numId w:val="1"/>
        </w:numPr>
        <w:spacing w:after="80"/>
      </w:pPr>
      <w:r>
        <w:rPr>
          <w:b/>
          <w:bCs/>
          <w:sz w:val="22"/>
          <w:szCs w:val="22"/>
        </w:rPr>
        <w:t xml:space="preserve">Tarmoqqa ortiqcha yuk</w:t>
      </w:r>
      <w:r>
        <w:rPr>
          <w:sz w:val="22"/>
          <w:szCs w:val="22"/>
        </w:rPr>
        <w:t xml:space="preserve"> — umumiy sahifa hajmi 3 237 KiB (~3.2 MB). Bu mobil internetda juda katta.</w:t>
      </w:r>
    </w:p>
    <w:p>
      <w:pPr>
        <w:pStyle w:val="ListParagraph"/>
        <w:numPr>
          <w:ilvl w:val="0"/>
          <w:numId w:val="1"/>
        </w:numPr>
        <w:spacing w:after="80"/>
      </w:pPr>
      <w:r>
        <w:rPr>
          <w:b/>
          <w:bCs/>
          <w:sz w:val="22"/>
          <w:szCs w:val="22"/>
        </w:rPr>
        <w:t xml:space="preserve">Rasmlar og‘ir</w:t>
      </w:r>
      <w:r>
        <w:rPr>
          <w:sz w:val="22"/>
          <w:szCs w:val="22"/>
        </w:rPr>
        <w:t xml:space="preserve"> — rasmlarni optimallashtirib ~2 252 KiB (2.2 MB) tejash mumkin (eng katta ta’sir shu yerda).</w:t>
      </w:r>
    </w:p>
    <w:p>
      <w:pPr>
        <w:pStyle w:val="ListParagraph"/>
        <w:numPr>
          <w:ilvl w:val="0"/>
          <w:numId w:val="1"/>
        </w:numPr>
        <w:spacing w:after="80"/>
      </w:pPr>
      <w:r>
        <w:rPr>
          <w:b/>
          <w:bCs/>
          <w:sz w:val="22"/>
          <w:szCs w:val="22"/>
        </w:rPr>
        <w:t xml:space="preserve">Ortiqcha kod</w:t>
      </w:r>
      <w:r>
        <w:rPr>
          <w:sz w:val="22"/>
          <w:szCs w:val="22"/>
        </w:rPr>
        <w:t xml:space="preserve"> — foydalanilmaydigan JavaScript (177 KiB) va CSS (40 KiB) kodlar bor.</w:t>
      </w:r>
    </w:p>
    <w:p>
      <w:pPr>
        <w:pStyle w:val="ListParagraph"/>
        <w:numPr>
          <w:ilvl w:val="0"/>
          <w:numId w:val="1"/>
        </w:numPr>
        <w:spacing w:after="80"/>
      </w:pPr>
      <w:r>
        <w:rPr>
          <w:b/>
          <w:bCs/>
          <w:sz w:val="22"/>
          <w:szCs w:val="22"/>
        </w:rPr>
        <w:t xml:space="preserve">Render-blocking</w:t>
      </w:r>
      <w:r>
        <w:rPr>
          <w:sz w:val="22"/>
          <w:szCs w:val="22"/>
        </w:rPr>
        <w:t xml:space="preserve"> — sahifani chizishni bloklovchi so‘rovlar ~1 260 ms kechiktiryapti.</w:t>
      </w:r>
    </w:p>
    <w:p>
      <w:pPr>
        <w:pStyle w:val="ListParagraph"/>
        <w:numPr>
          <w:ilvl w:val="0"/>
          <w:numId w:val="1"/>
        </w:numPr>
        <w:spacing w:after="80"/>
      </w:pPr>
      <w:r>
        <w:rPr>
          <w:b/>
          <w:bCs/>
          <w:sz w:val="22"/>
          <w:szCs w:val="22"/>
        </w:rPr>
        <w:t xml:space="preserve">Kesh va rasm o‘lchami</w:t>
      </w:r>
      <w:r>
        <w:rPr>
          <w:sz w:val="22"/>
          <w:szCs w:val="22"/>
        </w:rPr>
        <w:t xml:space="preserve"> — kesh saqlash muddati samarasiz (~3 165 KiB qayta yuklanadi), rasmlarga width/height berilmagan.</w:t>
      </w:r>
    </w:p>
    <w:p>
      <w:pPr>
        <w:pStyle w:val="Heading1"/>
        <w:spacing w:after="140" w:before="320"/>
      </w:pPr>
      <w:r>
        <w:rPr>
          <w:b/>
          <w:bCs/>
          <w:color w:val="1F3864"/>
          <w:sz w:val="30"/>
          <w:szCs w:val="30"/>
        </w:rPr>
        <w:t xml:space="preserve">3. Maxsus imkoniyatlar (Accessibility) — 95 / 100</w:t>
      </w:r>
    </w:p>
    <w:p>
      <w:pPr>
        <w:spacing w:after="120" w:line="276"/>
      </w:pPr>
      <w:r>
        <w:rPr>
          <w:sz w:val="22"/>
          <w:szCs w:val="22"/>
        </w:rPr>
        <w:t xml:space="preserve">Sayt nogironligi bor foydalanuvchilar uchun juda yaxshi moslashgan. Kichik kamchiliklar:</w:t>
      </w:r>
    </w:p>
    <w:p>
      <w:pPr>
        <w:pStyle w:val="ListParagraph"/>
        <w:numPr>
          <w:ilvl w:val="0"/>
          <w:numId w:val="1"/>
        </w:numPr>
        <w:spacing w:after="80"/>
      </w:pPr>
      <w:r>
        <w:rPr>
          <w:b/>
          <w:bCs/>
          <w:sz w:val="22"/>
          <w:szCs w:val="22"/>
        </w:rPr>
        <w:t xml:space="preserve">Kontrast</w:t>
      </w:r>
      <w:r>
        <w:rPr>
          <w:sz w:val="22"/>
          <w:szCs w:val="22"/>
        </w:rPr>
        <w:t xml:space="preserve"> — ba’zi joyda matn va fon rangi yetarlicha kontrast emas (o‘qish qiyin bo‘lishi mumkin).</w:t>
      </w:r>
    </w:p>
    <w:p>
      <w:pPr>
        <w:pStyle w:val="ListParagraph"/>
        <w:numPr>
          <w:ilvl w:val="0"/>
          <w:numId w:val="1"/>
        </w:numPr>
        <w:spacing w:after="80"/>
      </w:pPr>
      <w:r>
        <w:rPr>
          <w:b/>
          <w:bCs/>
          <w:sz w:val="22"/>
          <w:szCs w:val="22"/>
        </w:rPr>
        <w:t xml:space="preserve">Struktura</w:t>
      </w:r>
      <w:r>
        <w:rPr>
          <w:sz w:val="22"/>
          <w:szCs w:val="22"/>
        </w:rPr>
        <w:t xml:space="preserve"> — sahifada "main" (asosiy kontent) belgisi yo‘q — skrinrider dasturlar uchun muhim.</w:t>
      </w:r>
    </w:p>
    <w:p>
      <w:pPr>
        <w:pStyle w:val="Heading1"/>
        <w:spacing w:after="140" w:before="320"/>
      </w:pPr>
      <w:r>
        <w:rPr>
          <w:b/>
          <w:bCs/>
          <w:color w:val="1F3864"/>
          <w:sz w:val="30"/>
          <w:szCs w:val="30"/>
        </w:rPr>
        <w:t xml:space="preserve">4. SEO (qidiruv optimizatsiyasi) — 83 / 100</w:t>
      </w:r>
    </w:p>
    <w:p>
      <w:pPr>
        <w:pStyle w:val="ListParagraph"/>
        <w:numPr>
          <w:ilvl w:val="0"/>
          <w:numId w:val="1"/>
        </w:numPr>
        <w:spacing w:after="80"/>
      </w:pPr>
      <w:r>
        <w:rPr>
          <w:b/>
          <w:bCs/>
          <w:sz w:val="22"/>
          <w:szCs w:val="22"/>
        </w:rPr>
        <w:t xml:space="preserve">Meta-tavsif yo‘q</w:t>
      </w:r>
      <w:r>
        <w:rPr>
          <w:sz w:val="22"/>
          <w:szCs w:val="22"/>
        </w:rPr>
        <w:t xml:space="preserve"> — sahifada &lt;meta name="description"&gt; yo‘q. Google natijalarida tavsif to‘g‘ri ko‘rinmaydi.</w:t>
      </w:r>
    </w:p>
    <w:p>
      <w:pPr>
        <w:pStyle w:val="ListParagraph"/>
        <w:numPr>
          <w:ilvl w:val="0"/>
          <w:numId w:val="1"/>
        </w:numPr>
        <w:spacing w:after="80"/>
      </w:pPr>
      <w:r>
        <w:rPr>
          <w:b/>
          <w:bCs/>
          <w:sz w:val="22"/>
          <w:szCs w:val="22"/>
        </w:rPr>
        <w:t xml:space="preserve">robots.txt buzuq</w:t>
      </w:r>
      <w:r>
        <w:rPr>
          <w:sz w:val="22"/>
          <w:szCs w:val="22"/>
        </w:rPr>
        <w:t xml:space="preserve"> — robots.txt faylida 21 ta xato bor — qidiruv robotlarining indekslashiga xalaqit berishi mumkin.</w:t>
      </w:r>
    </w:p>
    <w:p>
      <w:pPr>
        <w:pStyle w:val="Heading1"/>
        <w:spacing w:after="140" w:before="320"/>
      </w:pPr>
      <w:r>
        <w:rPr>
          <w:b/>
          <w:bCs/>
          <w:color w:val="1F3864"/>
          <w:sz w:val="30"/>
          <w:szCs w:val="30"/>
        </w:rPr>
        <w:t xml:space="preserve">5. Best Practices va xavfsizlik — 100 / 100</w:t>
      </w:r>
    </w:p>
    <w:p>
      <w:pPr>
        <w:spacing w:after="120" w:line="276"/>
      </w:pPr>
      <w:r>
        <w:rPr>
          <w:sz w:val="22"/>
          <w:szCs w:val="22"/>
        </w:rPr>
        <w:t xml:space="preserve">Ball a’lo. Sayt HTTPS orqali ishlaydi. PageSpeed qo‘shimcha xavfsizlik yaxshilanishlarini tavsiya qildi (davlat sayti uchun foydali):</w:t>
      </w:r>
    </w:p>
    <w:p>
      <w:pPr>
        <w:pStyle w:val="ListParagraph"/>
        <w:numPr>
          <w:ilvl w:val="0"/>
          <w:numId w:val="1"/>
        </w:numPr>
        <w:spacing w:after="80"/>
      </w:pPr>
      <w:r>
        <w:rPr>
          <w:b/>
          <w:bCs/>
          <w:sz w:val="22"/>
          <w:szCs w:val="22"/>
        </w:rPr>
        <w:t xml:space="preserve">HTTPS majburiy + HSTS</w:t>
      </w:r>
      <w:r>
        <w:rPr>
          <w:sz w:val="22"/>
          <w:szCs w:val="22"/>
        </w:rPr>
        <w:t xml:space="preserve"> — HTTP so‘rovlarni majburan HTTPS ga yo‘naltirish va HSTS header qo‘shish.</w:t>
      </w:r>
    </w:p>
    <w:p>
      <w:pPr>
        <w:pStyle w:val="ListParagraph"/>
        <w:numPr>
          <w:ilvl w:val="0"/>
          <w:numId w:val="1"/>
        </w:numPr>
        <w:spacing w:after="80"/>
      </w:pPr>
      <w:r>
        <w:rPr>
          <w:b/>
          <w:bCs/>
          <w:sz w:val="22"/>
          <w:szCs w:val="22"/>
        </w:rPr>
        <w:t xml:space="preserve">Qo‘shimcha header’lar</w:t>
      </w:r>
      <w:r>
        <w:rPr>
          <w:sz w:val="22"/>
          <w:szCs w:val="22"/>
        </w:rPr>
        <w:t xml:space="preserve"> — Content Security Policy (XSS hujumlariga qarshi), X-Frame-Options (klikjekingga qarshi), COOP, Trusted Types.</w:t>
      </w:r>
    </w:p>
    <w:p>
      <w:pPr>
        <w:pStyle w:val="Heading1"/>
        <w:spacing w:after="140" w:before="320"/>
      </w:pPr>
      <w:r>
        <w:rPr>
          <w:b/>
          <w:bCs/>
          <w:color w:val="1F3864"/>
          <w:sz w:val="30"/>
          <w:szCs w:val="30"/>
        </w:rPr>
        <w:t xml:space="preserve">6. Xulosa va ustuvor tavsiyalar</w:t>
      </w:r>
    </w:p>
    <w:p>
      <w:pPr>
        <w:spacing w:after="120" w:line="276"/>
      </w:pPr>
      <w:r>
        <w:rPr>
          <w:sz w:val="22"/>
          <w:szCs w:val="22"/>
        </w:rPr>
        <w:t xml:space="preserve">Tezlikni oshirish uchun (ta’sir kattaligi bo‘yicha tartiblangan):</w:t>
      </w:r>
    </w:p>
    <w:tbl>
      <w:tblPr>
        <w:tblW w:type="dxa" w:w="8500"/>
        <w:tblBorders>
          <w:top w:val="single" w:color="BBBBBB" w:sz="4"/>
          <w:left w:val="single" w:color="BBBBBB" w:sz="4"/>
          <w:bottom w:val="single" w:color="BBBBBB" w:sz="4"/>
          <w:right w:val="single" w:color="BBBBBB" w:sz="4"/>
          <w:insideH w:val="single" w:color="DDDDDD" w:sz="2"/>
          <w:insideV w:val="single" w:color="DDDDDD" w:sz="2"/>
        </w:tblBorders>
      </w:tblPr>
      <w:tblGrid>
        <w:gridCol w:w="450"/>
        <w:gridCol w:w="4300"/>
        <w:gridCol w:w="2350"/>
        <w:gridCol w:w="1400"/>
      </w:tblGrid>
      <w:tr>
        <w:trPr>
          <w:tblHeader/>
        </w:trPr>
        <w:tc>
          <w:tcPr>
            <w:tcW w:type="dxa" w:w="450"/>
            <w:shd w:fill="1F3864" w:val="clear"/>
            <w:tcMar>
              <w:top w:type="dxa" w:w="60"/>
              <w:left w:type="dxa" w:w="100"/>
              <w:bottom w:type="dxa" w:w="60"/>
              <w:right w:type="dxa" w:w="100"/>
            </w:tcMar>
          </w:tcPr>
          <w:p>
            <w:pPr>
              <w:jc w:val="left"/>
            </w:pPr>
            <w:r>
              <w:rPr>
                <w:b/>
                <w:bCs/>
                <w:color w:val="FFFFFF"/>
                <w:sz w:val="20"/>
                <w:szCs w:val="20"/>
              </w:rPr>
              <w:t xml:space="preserve">#</w:t>
            </w:r>
          </w:p>
        </w:tc>
        <w:tc>
          <w:tcPr>
            <w:tcW w:type="dxa" w:w="4300"/>
            <w:shd w:fill="1F3864" w:val="clear"/>
            <w:tcMar>
              <w:top w:type="dxa" w:w="60"/>
              <w:left w:type="dxa" w:w="100"/>
              <w:bottom w:type="dxa" w:w="60"/>
              <w:right w:type="dxa" w:w="100"/>
            </w:tcMar>
          </w:tcPr>
          <w:p>
            <w:pPr>
              <w:jc w:val="left"/>
            </w:pPr>
            <w:r>
              <w:rPr>
                <w:b/>
                <w:bCs/>
                <w:color w:val="FFFFFF"/>
                <w:sz w:val="20"/>
                <w:szCs w:val="20"/>
              </w:rPr>
              <w:t xml:space="preserve">Tavsiya</w:t>
            </w:r>
          </w:p>
        </w:tc>
        <w:tc>
          <w:tcPr>
            <w:tcW w:type="dxa" w:w="2350"/>
            <w:shd w:fill="1F3864" w:val="clear"/>
            <w:tcMar>
              <w:top w:type="dxa" w:w="60"/>
              <w:left w:type="dxa" w:w="100"/>
              <w:bottom w:type="dxa" w:w="60"/>
              <w:right w:type="dxa" w:w="100"/>
            </w:tcMar>
          </w:tcPr>
          <w:p>
            <w:pPr>
              <w:jc w:val="left"/>
            </w:pPr>
            <w:r>
              <w:rPr>
                <w:b/>
                <w:bCs/>
                <w:color w:val="FFFFFF"/>
                <w:sz w:val="20"/>
                <w:szCs w:val="20"/>
              </w:rPr>
              <w:t xml:space="preserve">Kutilgan foyda</w:t>
            </w:r>
          </w:p>
        </w:tc>
        <w:tc>
          <w:tcPr>
            <w:tcW w:type="dxa" w:w="1400"/>
            <w:shd w:fill="1F3864" w:val="clear"/>
            <w:tcMar>
              <w:top w:type="dxa" w:w="60"/>
              <w:left w:type="dxa" w:w="100"/>
              <w:bottom w:type="dxa" w:w="60"/>
              <w:right w:type="dxa" w:w="100"/>
            </w:tcMar>
          </w:tcPr>
          <w:p>
            <w:pPr>
              <w:jc w:val="left"/>
            </w:pPr>
            <w:r>
              <w:rPr>
                <w:b/>
                <w:bCs/>
                <w:color w:val="FFFFFF"/>
                <w:sz w:val="20"/>
                <w:szCs w:val="20"/>
              </w:rPr>
              <w:t xml:space="preserve">Ustuvorlik</w:t>
            </w:r>
          </w:p>
        </w:tc>
      </w:tr>
      <w:tr>
        <w:tc>
          <w:tcPr>
            <w:tcW w:type="dxa" w:w="450"/>
            <w:tcMar>
              <w:top w:type="dxa" w:w="60"/>
              <w:left w:type="dxa" w:w="100"/>
              <w:bottom w:type="dxa" w:w="60"/>
              <w:right w:type="dxa" w:w="100"/>
            </w:tcMar>
          </w:tcPr>
          <w:p>
            <w:pPr>
              <w:jc w:val="left"/>
            </w:pPr>
            <w:r>
              <w:rPr>
                <w:b w:val="false"/>
                <w:bCs w:val="false"/>
                <w:color w:val="000000"/>
                <w:sz w:val="20"/>
                <w:szCs w:val="20"/>
              </w:rPr>
              <w:t xml:space="preserve">1</w:t>
            </w:r>
          </w:p>
        </w:tc>
        <w:tc>
          <w:tcPr>
            <w:tcW w:type="dxa" w:w="4300"/>
            <w:tcMar>
              <w:top w:type="dxa" w:w="60"/>
              <w:left w:type="dxa" w:w="100"/>
              <w:bottom w:type="dxa" w:w="60"/>
              <w:right w:type="dxa" w:w="100"/>
            </w:tcMar>
          </w:tcPr>
          <w:p>
            <w:pPr>
              <w:jc w:val="left"/>
            </w:pPr>
            <w:r>
              <w:rPr>
                <w:b w:val="false"/>
                <w:bCs w:val="false"/>
                <w:color w:val="000000"/>
                <w:sz w:val="20"/>
                <w:szCs w:val="20"/>
              </w:rPr>
              <w:t xml:space="preserve">Rasmlarni siqish, WebP formatiga o‘tkazish, lazy-load</w:t>
            </w:r>
          </w:p>
        </w:tc>
        <w:tc>
          <w:tcPr>
            <w:tcW w:type="dxa" w:w="2350"/>
            <w:tcMar>
              <w:top w:type="dxa" w:w="60"/>
              <w:left w:type="dxa" w:w="100"/>
              <w:bottom w:type="dxa" w:w="60"/>
              <w:right w:type="dxa" w:w="100"/>
            </w:tcMar>
          </w:tcPr>
          <w:p>
            <w:pPr>
              <w:jc w:val="left"/>
            </w:pPr>
            <w:r>
              <w:rPr>
                <w:b w:val="false"/>
                <w:bCs w:val="false"/>
                <w:color w:val="000000"/>
                <w:sz w:val="20"/>
                <w:szCs w:val="20"/>
              </w:rPr>
              <w:t xml:space="preserve">~2.2 MB tejash</w:t>
            </w:r>
          </w:p>
        </w:tc>
        <w:tc>
          <w:tcPr>
            <w:tcW w:type="dxa" w:w="1400"/>
            <w:tcMar>
              <w:top w:type="dxa" w:w="60"/>
              <w:left w:type="dxa" w:w="100"/>
              <w:bottom w:type="dxa" w:w="60"/>
              <w:right w:type="dxa" w:w="100"/>
            </w:tcMar>
          </w:tcPr>
          <w:p>
            <w:pPr>
              <w:jc w:val="center"/>
            </w:pPr>
            <w:r>
              <w:rPr>
                <w:b/>
                <w:bCs/>
                <w:color w:val="B02418"/>
                <w:sz w:val="20"/>
                <w:szCs w:val="20"/>
              </w:rPr>
              <w:t xml:space="preserve">Yuqori</w:t>
            </w:r>
          </w:p>
        </w:tc>
      </w:tr>
      <w:tr>
        <w:tc>
          <w:tcPr>
            <w:tcW w:type="dxa" w:w="450"/>
            <w:shd w:fill="EEF2F8" w:val="clear"/>
            <w:tcMar>
              <w:top w:type="dxa" w:w="60"/>
              <w:left w:type="dxa" w:w="100"/>
              <w:bottom w:type="dxa" w:w="60"/>
              <w:right w:type="dxa" w:w="100"/>
            </w:tcMar>
          </w:tcPr>
          <w:p>
            <w:pPr>
              <w:jc w:val="left"/>
            </w:pPr>
            <w:r>
              <w:rPr>
                <w:b w:val="false"/>
                <w:bCs w:val="false"/>
                <w:color w:val="000000"/>
                <w:sz w:val="20"/>
                <w:szCs w:val="20"/>
              </w:rPr>
              <w:t xml:space="preserve">2</w:t>
            </w:r>
          </w:p>
        </w:tc>
        <w:tc>
          <w:tcPr>
            <w:tcW w:type="dxa" w:w="4300"/>
            <w:shd w:fill="EEF2F8" w:val="clear"/>
            <w:tcMar>
              <w:top w:type="dxa" w:w="60"/>
              <w:left w:type="dxa" w:w="100"/>
              <w:bottom w:type="dxa" w:w="60"/>
              <w:right w:type="dxa" w:w="100"/>
            </w:tcMar>
          </w:tcPr>
          <w:p>
            <w:pPr>
              <w:jc w:val="left"/>
            </w:pPr>
            <w:r>
              <w:rPr>
                <w:b w:val="false"/>
                <w:bCs w:val="false"/>
                <w:color w:val="000000"/>
                <w:sz w:val="20"/>
                <w:szCs w:val="20"/>
              </w:rPr>
              <w:t xml:space="preserve">Foydalanilmaydigan JS/CSS ni olib tashlash</w:t>
            </w:r>
          </w:p>
        </w:tc>
        <w:tc>
          <w:tcPr>
            <w:tcW w:type="dxa" w:w="2350"/>
            <w:shd w:fill="EEF2F8" w:val="clear"/>
            <w:tcMar>
              <w:top w:type="dxa" w:w="60"/>
              <w:left w:type="dxa" w:w="100"/>
              <w:bottom w:type="dxa" w:w="60"/>
              <w:right w:type="dxa" w:w="100"/>
            </w:tcMar>
          </w:tcPr>
          <w:p>
            <w:pPr>
              <w:jc w:val="left"/>
            </w:pPr>
            <w:r>
              <w:rPr>
                <w:b w:val="false"/>
                <w:bCs w:val="false"/>
                <w:color w:val="000000"/>
                <w:sz w:val="20"/>
                <w:szCs w:val="20"/>
              </w:rPr>
              <w:t xml:space="preserve">~217 KiB</w:t>
            </w:r>
          </w:p>
        </w:tc>
        <w:tc>
          <w:tcPr>
            <w:tcW w:type="dxa" w:w="1400"/>
            <w:shd w:fill="EEF2F8" w:val="clear"/>
            <w:tcMar>
              <w:top w:type="dxa" w:w="60"/>
              <w:left w:type="dxa" w:w="100"/>
              <w:bottom w:type="dxa" w:w="60"/>
              <w:right w:type="dxa" w:w="100"/>
            </w:tcMar>
          </w:tcPr>
          <w:p>
            <w:pPr>
              <w:jc w:val="center"/>
            </w:pPr>
            <w:r>
              <w:rPr>
                <w:b/>
                <w:bCs/>
                <w:color w:val="B02418"/>
                <w:sz w:val="20"/>
                <w:szCs w:val="20"/>
              </w:rPr>
              <w:t xml:space="preserve">Yuqori</w:t>
            </w:r>
          </w:p>
        </w:tc>
      </w:tr>
      <w:tr>
        <w:tc>
          <w:tcPr>
            <w:tcW w:type="dxa" w:w="450"/>
            <w:tcMar>
              <w:top w:type="dxa" w:w="60"/>
              <w:left w:type="dxa" w:w="100"/>
              <w:bottom w:type="dxa" w:w="60"/>
              <w:right w:type="dxa" w:w="100"/>
            </w:tcMar>
          </w:tcPr>
          <w:p>
            <w:pPr>
              <w:jc w:val="left"/>
            </w:pPr>
            <w:r>
              <w:rPr>
                <w:b w:val="false"/>
                <w:bCs w:val="false"/>
                <w:color w:val="000000"/>
                <w:sz w:val="20"/>
                <w:szCs w:val="20"/>
              </w:rPr>
              <w:t xml:space="preserve">3</w:t>
            </w:r>
          </w:p>
        </w:tc>
        <w:tc>
          <w:tcPr>
            <w:tcW w:type="dxa" w:w="4300"/>
            <w:tcMar>
              <w:top w:type="dxa" w:w="60"/>
              <w:left w:type="dxa" w:w="100"/>
              <w:bottom w:type="dxa" w:w="60"/>
              <w:right w:type="dxa" w:w="100"/>
            </w:tcMar>
          </w:tcPr>
          <w:p>
            <w:pPr>
              <w:jc w:val="left"/>
            </w:pPr>
            <w:r>
              <w:rPr>
                <w:b w:val="false"/>
                <w:bCs w:val="false"/>
                <w:color w:val="000000"/>
                <w:sz w:val="20"/>
                <w:szCs w:val="20"/>
              </w:rPr>
              <w:t xml:space="preserve">Render-blocking resurslarni kamaytirish</w:t>
            </w:r>
          </w:p>
        </w:tc>
        <w:tc>
          <w:tcPr>
            <w:tcW w:type="dxa" w:w="2350"/>
            <w:tcMar>
              <w:top w:type="dxa" w:w="60"/>
              <w:left w:type="dxa" w:w="100"/>
              <w:bottom w:type="dxa" w:w="60"/>
              <w:right w:type="dxa" w:w="100"/>
            </w:tcMar>
          </w:tcPr>
          <w:p>
            <w:pPr>
              <w:jc w:val="left"/>
            </w:pPr>
            <w:r>
              <w:rPr>
                <w:b w:val="false"/>
                <w:bCs w:val="false"/>
                <w:color w:val="000000"/>
                <w:sz w:val="20"/>
                <w:szCs w:val="20"/>
              </w:rPr>
              <w:t xml:space="preserve">~1.26 s</w:t>
            </w:r>
          </w:p>
        </w:tc>
        <w:tc>
          <w:tcPr>
            <w:tcW w:type="dxa" w:w="1400"/>
            <w:tcMar>
              <w:top w:type="dxa" w:w="60"/>
              <w:left w:type="dxa" w:w="100"/>
              <w:bottom w:type="dxa" w:w="60"/>
              <w:right w:type="dxa" w:w="100"/>
            </w:tcMar>
          </w:tcPr>
          <w:p>
            <w:pPr>
              <w:jc w:val="center"/>
            </w:pPr>
            <w:r>
              <w:rPr>
                <w:b/>
                <w:bCs/>
                <w:color w:val="B02418"/>
                <w:sz w:val="20"/>
                <w:szCs w:val="20"/>
              </w:rPr>
              <w:t xml:space="preserve">Yuqori</w:t>
            </w:r>
          </w:p>
        </w:tc>
      </w:tr>
      <w:tr>
        <w:tc>
          <w:tcPr>
            <w:tcW w:type="dxa" w:w="450"/>
            <w:shd w:fill="EEF2F8" w:val="clear"/>
            <w:tcMar>
              <w:top w:type="dxa" w:w="60"/>
              <w:left w:type="dxa" w:w="100"/>
              <w:bottom w:type="dxa" w:w="60"/>
              <w:right w:type="dxa" w:w="100"/>
            </w:tcMar>
          </w:tcPr>
          <w:p>
            <w:pPr>
              <w:jc w:val="left"/>
            </w:pPr>
            <w:r>
              <w:rPr>
                <w:b w:val="false"/>
                <w:bCs w:val="false"/>
                <w:color w:val="000000"/>
                <w:sz w:val="20"/>
                <w:szCs w:val="20"/>
              </w:rPr>
              <w:t xml:space="preserve">4</w:t>
            </w:r>
          </w:p>
        </w:tc>
        <w:tc>
          <w:tcPr>
            <w:tcW w:type="dxa" w:w="4300"/>
            <w:shd w:fill="EEF2F8" w:val="clear"/>
            <w:tcMar>
              <w:top w:type="dxa" w:w="60"/>
              <w:left w:type="dxa" w:w="100"/>
              <w:bottom w:type="dxa" w:w="60"/>
              <w:right w:type="dxa" w:w="100"/>
            </w:tcMar>
          </w:tcPr>
          <w:p>
            <w:pPr>
              <w:jc w:val="left"/>
            </w:pPr>
            <w:r>
              <w:rPr>
                <w:b w:val="false"/>
                <w:bCs w:val="false"/>
                <w:color w:val="000000"/>
                <w:sz w:val="20"/>
                <w:szCs w:val="20"/>
              </w:rPr>
              <w:t xml:space="preserve">Kesh siyosatini sozlash, rasmga width/height</w:t>
            </w:r>
          </w:p>
        </w:tc>
        <w:tc>
          <w:tcPr>
            <w:tcW w:type="dxa" w:w="2350"/>
            <w:shd w:fill="EEF2F8" w:val="clear"/>
            <w:tcMar>
              <w:top w:type="dxa" w:w="60"/>
              <w:left w:type="dxa" w:w="100"/>
              <w:bottom w:type="dxa" w:w="60"/>
              <w:right w:type="dxa" w:w="100"/>
            </w:tcMar>
          </w:tcPr>
          <w:p>
            <w:pPr>
              <w:jc w:val="left"/>
            </w:pPr>
            <w:r>
              <w:rPr>
                <w:b w:val="false"/>
                <w:bCs w:val="false"/>
                <w:color w:val="000000"/>
                <w:sz w:val="20"/>
                <w:szCs w:val="20"/>
              </w:rPr>
              <w:t xml:space="preserve">Qayta yuklashni kamaytirish</w:t>
            </w:r>
          </w:p>
        </w:tc>
        <w:tc>
          <w:tcPr>
            <w:tcW w:type="dxa" w:w="1400"/>
            <w:shd w:fill="EEF2F8" w:val="clear"/>
            <w:tcMar>
              <w:top w:type="dxa" w:w="60"/>
              <w:left w:type="dxa" w:w="100"/>
              <w:bottom w:type="dxa" w:w="60"/>
              <w:right w:type="dxa" w:w="100"/>
            </w:tcMar>
          </w:tcPr>
          <w:p>
            <w:pPr>
              <w:jc w:val="center"/>
            </w:pPr>
            <w:r>
              <w:rPr>
                <w:b/>
                <w:bCs/>
                <w:color w:val="9C6500"/>
                <w:sz w:val="20"/>
                <w:szCs w:val="20"/>
              </w:rPr>
              <w:t xml:space="preserve">O‘rta</w:t>
            </w:r>
          </w:p>
        </w:tc>
      </w:tr>
      <w:tr>
        <w:tc>
          <w:tcPr>
            <w:tcW w:type="dxa" w:w="450"/>
            <w:tcMar>
              <w:top w:type="dxa" w:w="60"/>
              <w:left w:type="dxa" w:w="100"/>
              <w:bottom w:type="dxa" w:w="60"/>
              <w:right w:type="dxa" w:w="100"/>
            </w:tcMar>
          </w:tcPr>
          <w:p>
            <w:pPr>
              <w:jc w:val="left"/>
            </w:pPr>
            <w:r>
              <w:rPr>
                <w:b w:val="false"/>
                <w:bCs w:val="false"/>
                <w:color w:val="000000"/>
                <w:sz w:val="20"/>
                <w:szCs w:val="20"/>
              </w:rPr>
              <w:t xml:space="preserve">5</w:t>
            </w:r>
          </w:p>
        </w:tc>
        <w:tc>
          <w:tcPr>
            <w:tcW w:type="dxa" w:w="4300"/>
            <w:tcMar>
              <w:top w:type="dxa" w:w="60"/>
              <w:left w:type="dxa" w:w="100"/>
              <w:bottom w:type="dxa" w:w="60"/>
              <w:right w:type="dxa" w:w="100"/>
            </w:tcMar>
          </w:tcPr>
          <w:p>
            <w:pPr>
              <w:jc w:val="left"/>
            </w:pPr>
            <w:r>
              <w:rPr>
                <w:b w:val="false"/>
                <w:bCs w:val="false"/>
                <w:color w:val="000000"/>
                <w:sz w:val="20"/>
                <w:szCs w:val="20"/>
              </w:rPr>
              <w:t xml:space="preserve">SEO: meta-tavsif qo‘shish, robots.txt tuzatish</w:t>
            </w:r>
          </w:p>
        </w:tc>
        <w:tc>
          <w:tcPr>
            <w:tcW w:type="dxa" w:w="2350"/>
            <w:tcMar>
              <w:top w:type="dxa" w:w="60"/>
              <w:left w:type="dxa" w:w="100"/>
              <w:bottom w:type="dxa" w:w="60"/>
              <w:right w:type="dxa" w:w="100"/>
            </w:tcMar>
          </w:tcPr>
          <w:p>
            <w:pPr>
              <w:jc w:val="left"/>
            </w:pPr>
            <w:r>
              <w:rPr>
                <w:b w:val="false"/>
                <w:bCs w:val="false"/>
                <w:color w:val="000000"/>
                <w:sz w:val="20"/>
                <w:szCs w:val="20"/>
              </w:rPr>
              <w:t xml:space="preserve">Qidiruvda ko‘rinish</w:t>
            </w:r>
          </w:p>
        </w:tc>
        <w:tc>
          <w:tcPr>
            <w:tcW w:type="dxa" w:w="1400"/>
            <w:tcMar>
              <w:top w:type="dxa" w:w="60"/>
              <w:left w:type="dxa" w:w="100"/>
              <w:bottom w:type="dxa" w:w="60"/>
              <w:right w:type="dxa" w:w="100"/>
            </w:tcMar>
          </w:tcPr>
          <w:p>
            <w:pPr>
              <w:jc w:val="center"/>
            </w:pPr>
            <w:r>
              <w:rPr>
                <w:b/>
                <w:bCs/>
                <w:color w:val="9C6500"/>
                <w:sz w:val="20"/>
                <w:szCs w:val="20"/>
              </w:rPr>
              <w:t xml:space="preserve">O‘rta</w:t>
            </w:r>
          </w:p>
        </w:tc>
      </w:tr>
      <w:tr>
        <w:tc>
          <w:tcPr>
            <w:tcW w:type="dxa" w:w="450"/>
            <w:shd w:fill="EEF2F8" w:val="clear"/>
            <w:tcMar>
              <w:top w:type="dxa" w:w="60"/>
              <w:left w:type="dxa" w:w="100"/>
              <w:bottom w:type="dxa" w:w="60"/>
              <w:right w:type="dxa" w:w="100"/>
            </w:tcMar>
          </w:tcPr>
          <w:p>
            <w:pPr>
              <w:jc w:val="left"/>
            </w:pPr>
            <w:r>
              <w:rPr>
                <w:b w:val="false"/>
                <w:bCs w:val="false"/>
                <w:color w:val="000000"/>
                <w:sz w:val="20"/>
                <w:szCs w:val="20"/>
              </w:rPr>
              <w:t xml:space="preserve">6</w:t>
            </w:r>
          </w:p>
        </w:tc>
        <w:tc>
          <w:tcPr>
            <w:tcW w:type="dxa" w:w="4300"/>
            <w:shd w:fill="EEF2F8" w:val="clear"/>
            <w:tcMar>
              <w:top w:type="dxa" w:w="60"/>
              <w:left w:type="dxa" w:w="100"/>
              <w:bottom w:type="dxa" w:w="60"/>
              <w:right w:type="dxa" w:w="100"/>
            </w:tcMar>
          </w:tcPr>
          <w:p>
            <w:pPr>
              <w:jc w:val="left"/>
            </w:pPr>
            <w:r>
              <w:rPr>
                <w:b w:val="false"/>
                <w:bCs w:val="false"/>
                <w:color w:val="000000"/>
                <w:sz w:val="20"/>
                <w:szCs w:val="20"/>
              </w:rPr>
              <w:t xml:space="preserve">Accessibility: kontrast, "main" belgisi</w:t>
            </w:r>
          </w:p>
        </w:tc>
        <w:tc>
          <w:tcPr>
            <w:tcW w:type="dxa" w:w="2350"/>
            <w:shd w:fill="EEF2F8" w:val="clear"/>
            <w:tcMar>
              <w:top w:type="dxa" w:w="60"/>
              <w:left w:type="dxa" w:w="100"/>
              <w:bottom w:type="dxa" w:w="60"/>
              <w:right w:type="dxa" w:w="100"/>
            </w:tcMar>
          </w:tcPr>
          <w:p>
            <w:pPr>
              <w:jc w:val="left"/>
            </w:pPr>
            <w:r>
              <w:rPr>
                <w:b w:val="false"/>
                <w:bCs w:val="false"/>
                <w:color w:val="000000"/>
                <w:sz w:val="20"/>
                <w:szCs w:val="20"/>
              </w:rPr>
              <w:t xml:space="preserve">Qulaylik</w:t>
            </w:r>
          </w:p>
        </w:tc>
        <w:tc>
          <w:tcPr>
            <w:tcW w:type="dxa" w:w="1400"/>
            <w:shd w:fill="EEF2F8" w:val="clear"/>
            <w:tcMar>
              <w:top w:type="dxa" w:w="60"/>
              <w:left w:type="dxa" w:w="100"/>
              <w:bottom w:type="dxa" w:w="60"/>
              <w:right w:type="dxa" w:w="100"/>
            </w:tcMar>
          </w:tcPr>
          <w:p>
            <w:pPr>
              <w:jc w:val="center"/>
            </w:pPr>
            <w:r>
              <w:rPr>
                <w:b w:val="false"/>
                <w:bCs w:val="false"/>
                <w:color w:val="595959"/>
                <w:sz w:val="20"/>
                <w:szCs w:val="20"/>
              </w:rPr>
              <w:t xml:space="preserve">Past</w:t>
            </w:r>
          </w:p>
        </w:tc>
      </w:tr>
      <w:tr>
        <w:tc>
          <w:tcPr>
            <w:tcW w:type="dxa" w:w="450"/>
            <w:tcMar>
              <w:top w:type="dxa" w:w="60"/>
              <w:left w:type="dxa" w:w="100"/>
              <w:bottom w:type="dxa" w:w="60"/>
              <w:right w:type="dxa" w:w="100"/>
            </w:tcMar>
          </w:tcPr>
          <w:p>
            <w:pPr>
              <w:jc w:val="left"/>
            </w:pPr>
            <w:r>
              <w:rPr>
                <w:b w:val="false"/>
                <w:bCs w:val="false"/>
                <w:color w:val="000000"/>
                <w:sz w:val="20"/>
                <w:szCs w:val="20"/>
              </w:rPr>
              <w:t xml:space="preserve">7</w:t>
            </w:r>
          </w:p>
        </w:tc>
        <w:tc>
          <w:tcPr>
            <w:tcW w:type="dxa" w:w="4300"/>
            <w:tcMar>
              <w:top w:type="dxa" w:w="60"/>
              <w:left w:type="dxa" w:w="100"/>
              <w:bottom w:type="dxa" w:w="60"/>
              <w:right w:type="dxa" w:w="100"/>
            </w:tcMar>
          </w:tcPr>
          <w:p>
            <w:pPr>
              <w:jc w:val="left"/>
            </w:pPr>
            <w:r>
              <w:rPr>
                <w:b w:val="false"/>
                <w:bCs w:val="false"/>
                <w:color w:val="000000"/>
                <w:sz w:val="20"/>
                <w:szCs w:val="20"/>
              </w:rPr>
              <w:t xml:space="preserve">Xavfsizlik header’lari: HSTS, CSP, X-Frame-Options</w:t>
            </w:r>
          </w:p>
        </w:tc>
        <w:tc>
          <w:tcPr>
            <w:tcW w:type="dxa" w:w="2350"/>
            <w:tcMar>
              <w:top w:type="dxa" w:w="60"/>
              <w:left w:type="dxa" w:w="100"/>
              <w:bottom w:type="dxa" w:w="60"/>
              <w:right w:type="dxa" w:w="100"/>
            </w:tcMar>
          </w:tcPr>
          <w:p>
            <w:pPr>
              <w:jc w:val="left"/>
            </w:pPr>
            <w:r>
              <w:rPr>
                <w:b w:val="false"/>
                <w:bCs w:val="false"/>
                <w:color w:val="000000"/>
                <w:sz w:val="20"/>
                <w:szCs w:val="20"/>
              </w:rPr>
              <w:t xml:space="preserve">Himoya</w:t>
            </w:r>
          </w:p>
        </w:tc>
        <w:tc>
          <w:tcPr>
            <w:tcW w:type="dxa" w:w="1400"/>
            <w:tcMar>
              <w:top w:type="dxa" w:w="60"/>
              <w:left w:type="dxa" w:w="100"/>
              <w:bottom w:type="dxa" w:w="60"/>
              <w:right w:type="dxa" w:w="100"/>
            </w:tcMar>
          </w:tcPr>
          <w:p>
            <w:pPr>
              <w:jc w:val="center"/>
            </w:pPr>
            <w:r>
              <w:rPr>
                <w:b/>
                <w:bCs/>
                <w:color w:val="9C6500"/>
                <w:sz w:val="20"/>
                <w:szCs w:val="20"/>
              </w:rPr>
              <w:t xml:space="preserve">O‘rta</w:t>
            </w:r>
          </w:p>
        </w:tc>
      </w:tr>
    </w:tbl>
    <w:p>
      <w:pPr>
        <w:pBdr>
          <w:left w:val="single" w:color="2E5496" w:sz="18" w:space="8"/>
        </w:pBdr>
        <w:shd w:fill="EEF2F8" w:val="clear"/>
        <w:spacing w:after="120" w:before="120"/>
      </w:pPr>
      <w:r>
        <w:rPr>
          <w:b/>
          <w:bCs/>
          <w:color w:val="2E5496"/>
          <w:sz w:val="22"/>
          <w:szCs w:val="22"/>
        </w:rPr>
        <w:t xml:space="preserve">Stress test bilan bog‘liqligi: </w:t>
      </w:r>
      <w:r>
        <w:rPr>
          <w:sz w:val="22"/>
          <w:szCs w:val="22"/>
        </w:rPr>
        <w:t xml:space="preserve">Sahifa ~3.2 MB — ya’ni har bir foydalanuvchi ko‘p ma’lumot yuklaydi. 400–500 kishi bir vaqtda kirsa, bu server va tarmoqqa katta bosim beradi. Shuning uchun rasmlarni yengillashtirish nafaqat tezlikni, balki yuklamaga chidamlilikni ham oshiradi. Bir vaqtdagi 400–500 foydalanuvchi yuklamasini aniq o‘lchash uchun alohida stress test rejasi va skripti tayyor.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Sayt tahlili hisoboti</dc:title>
  <dc:creator>Test jamoasi</dc:creator>
  <cp:lastModifiedBy>Un-named</cp:lastModifiedBy>
  <cp:revision>1</cp:revision>
  <dcterms:created xsi:type="dcterms:W3CDTF">2026-09-18T13:19:08.378Z</dcterms:created>
  <dcterms:modified xsi:type="dcterms:W3CDTF">2026-09-18T13:19:08.385Z</dcterms:modified>
</cp:coreProperties>
</file>

<file path=docProps/custom.xml><?xml version="1.0" encoding="utf-8"?>
<Properties xmlns="http://schemas.openxmlformats.org/officeDocument/2006/custom-properties" xmlns:vt="http://schemas.openxmlformats.org/officeDocument/2006/docPropsVTypes"/>
</file>