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5b9bd5" w:space="4" w:sz="8" w:val="single"/>
        </w:pBdr>
        <w:spacing w:after="300" w:lineRule="auto"/>
        <w:rPr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323e4f"/>
          <w:sz w:val="52"/>
          <w:szCs w:val="52"/>
          <w:rtl w:val="0"/>
        </w:rPr>
        <w:t xml:space="preserve">Staging Release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Environment specific port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proxy-conf.json: the target ip and port needs to be changes for the respective environment as shown below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left w:color="000000" w:space="7" w:sz="0" w:val="none"/>
        </w:pBdr>
        <w:spacing w:after="200"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"target": "http://10.36.121.59:8092"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environment.prod.ts: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left w:color="000000" w:space="7" w:sz="0" w:val="none"/>
        </w:pBdr>
        <w:spacing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imageApi:'http://10.36.121.59:8083',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left w:color="000000" w:space="7" w:sz="0" w:val="none"/>
        </w:pBdr>
        <w:spacing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blendApi:'http://10.36.121.59:8091',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left w:color="000000" w:space="7" w:sz="0" w:val="none"/>
        </w:pBdr>
        <w:spacing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deviceApi: 'http://10.36.121.59:9066',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left w:color="000000" w:space="7" w:sz="0" w:val="none"/>
        </w:pBdr>
        <w:spacing w:after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apiUrl:'http://10.36.121.59:8092',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database.properties: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left w:color="000000" w:space="7" w:sz="0" w:val="none"/>
        </w:pBdr>
        <w:spacing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url=jdbc:oracle:thin:@10.36.121.59:1521:CSCDEV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left w:color="000000" w:space="7" w:sz="0" w:val="none"/>
        </w:pBdr>
        <w:spacing w:after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dbuser=CSCTS_BLEND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application.yml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left w:color="000000" w:space="7" w:sz="0" w:val="none"/>
        </w:pBdr>
        <w:spacing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port: 8092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left w:color="000000" w:space="7" w:sz="0" w:val="none"/>
        </w:pBdr>
        <w:spacing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append 1111 to the value of "plant.sms.gateway.apikey" for the sms to get triggered in 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left w:color="000000" w:space="7" w:sz="0" w:val="none"/>
        </w:pBdr>
        <w:spacing w:after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change the value of "environment" to DEV (anything other than "PROD").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changes: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left w:color="000000" w:space="7" w:sz="0" w:val="none"/>
        </w:pBd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left w:color="000000" w:space="7" w:sz="0" w:val="none"/>
        </w:pBdr>
        <w:spacing w:after="20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railway - start_timestamp and rr_rake_no - addition.sql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left w:color="000000" w:space="7" w:sz="0" w:val="none"/>
        </w:pBdr>
        <w:spacing w:after="20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railway-rake-add-year-db-scripts.sql</w:t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Files Modified: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cscts-commons/src/main/java/com/cscts/common/railwayrake/model/CsctsRailwayRake.java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cscts-commons/src/main/java/com/cscts/common/railwayrake/model/CsctsRakeLevel.java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cscts-commons/src/main/java/com/cscts/common/railwayrake/model/CsctsWagonLevel.java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cscts-commons/src/main/java/com/cscts/common/railwayrake/model/CsctsWagonLevelCustom.java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database-scripts/railway - start_timestamp and rr_rake_no - addition.sql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entry-gate-service/src/main/hindalco-ui/src/app/component/mine-dispatch/mine-dispatch.component.html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entry-gate-service/src/main/hindalco-ui/src/app/component/mine-dispatch/mine-dispatch.component.ts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entry-gate-service/src/main/hindalco-ui/src/app/component/railway/railway.component.html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entry-gate-service/src/main/hindalco-ui/src/app/component/railway/railway.component.ts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entry-gate-service/src/main/hindalco-ui/src/app/component/yard-stockpile-master/yard-stockpile-master.component.html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entry-gate-service/src/main/hindalco-ui/src/app/dialogModal/add-tra/add-tra.component.html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entry-gate-service/src/main/hindalco-ui/src/app/dialogModal/do-edit/do-edit.component.html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entry-gate-service/src/main/hindalco-ui/src/app/dialogModal/do-edit/do-edit.component.ts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entry-gate-service/src/main/hindalco-ui/src/app/dialogModal/edit-railway/edit-railway.component.html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entry-gate-service/src/main/hindalco-ui/src/app/dialogModal/edit-railway/edit-railway.component.ts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entry-gate-service/src/main/hindalco-ui/src/app/model/railway.model.tsentry-gate-service/src/main/java/com/cscts/entrygate/railwayrake/dao/impl/CsctsRrDaoImpl.javntry-gate-service/src/main/java/com/cscts/entrygate/wb/dao/impl/CsctsWeighBridgeDaoImpl.java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entry-gate-service/src/main/resources/application-db-queries.yml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431"/>
        </w:tabs>
        <w:spacing w:after="0"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2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Rollback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left w:color="000000" w:space="7" w:sz="0" w:val="none"/>
        </w:pBdr>
        <w:spacing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entry gate application current version is 0.24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left w:color="000000" w:space="7" w:sz="0" w:val="none"/>
        </w:pBdr>
        <w:spacing w:after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preceding version is 0.25. In case of any issues, it will be rolled back to this version.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left w:color="000000" w:space="7" w:sz="0" w:val="none"/>
        </w:pBdr>
        <w:spacing w:after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rollback_railway_year+rr_rake_no.txt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