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drawing>
          <wp:inline xmlns:a="http://schemas.openxmlformats.org/drawingml/2006/main" xmlns:pic="http://schemas.openxmlformats.org/drawingml/2006/picture">
            <wp:extent cx="1872000" cy="1872000"/>
            <wp:docPr id="1" name="Picture 1"/>
            <wp:cNvGraphicFramePr>
              <a:graphicFrameLocks noChangeAspect="1"/>
            </wp:cNvGraphicFramePr>
            <a:graphic>
              <a:graphicData uri="http://schemas.openxmlformats.org/drawingml/2006/picture">
                <pic:pic>
                  <pic:nvPicPr>
                    <pic:cNvPr id="0" name="FETRAG_Cahier_des_charges_Vitrine_Web_v1.0_image1.jpeg"/>
                    <pic:cNvPicPr/>
                  </pic:nvPicPr>
                  <pic:blipFill>
                    <a:blip r:embed="rId9"/>
                    <a:stretch>
                      <a:fillRect/>
                    </a:stretch>
                  </pic:blipFill>
                  <pic:spPr>
                    <a:xfrm>
                      <a:off x="0" y="0"/>
                      <a:ext cx="1872000" cy="1872000"/>
                    </a:xfrm>
                    <a:prstGeom prst="rect"/>
                  </pic:spPr>
                </pic:pic>
              </a:graphicData>
            </a:graphic>
          </wp:inline>
        </w:drawing>
      </w:r>
    </w:p>
    <w:p>
      <w:pPr>
        <w:jc w:val="center"/>
      </w:pPr>
      <w:r>
        <w:rPr>
          <w:b/>
          <w:color w:val="0B66B2"/>
          <w:sz w:val="30"/>
        </w:rPr>
        <w:t>FÉDÉRATION DES TRAVAILLEURS DU GABON</w:t>
      </w:r>
    </w:p>
    <w:p>
      <w:pPr>
        <w:jc w:val="center"/>
      </w:pPr>
      <w:r>
        <w:rPr>
          <w:b/>
          <w:color w:val="0B66B2"/>
          <w:sz w:val="50"/>
        </w:rPr>
        <w:t>FETRAG</w:t>
      </w:r>
    </w:p>
    <w:p>
      <w:pPr>
        <w:spacing w:before="480"/>
        <w:jc w:val="center"/>
      </w:pPr>
      <w:r>
        <w:rPr>
          <w:b/>
          <w:color w:val="1F2937"/>
          <w:sz w:val="48"/>
        </w:rPr>
        <w:t>CAHIER DES CHARGES UNIFIÉ - ÉCOSYSTÈME NUMÉRIQUE FETRAG</w:t>
      </w:r>
    </w:p>
    <w:p>
      <w:pPr>
        <w:jc w:val="center"/>
      </w:pPr>
      <w:r>
        <w:rPr>
          <w:color w:val="8BBE22"/>
          <w:sz w:val="26"/>
        </w:rPr>
        <w:t>Site institutionnel fetrag.ga + LMS formation.fetrag.ga - Monorepo Node.js</w:t>
      </w:r>
    </w:p>
    <w:p>
      <w:pPr>
        <w:spacing w:before="280"/>
        <w:jc w:val="center"/>
      </w:pPr>
      <w:r>
        <w:rPr>
          <w:b/>
          <w:sz w:val="22"/>
        </w:rPr>
        <w:t>Version 2.0 - Septembre 2026</w:t>
      </w:r>
    </w:p>
    <w:p>
      <w:pPr>
        <w:jc w:val="center"/>
      </w:pPr>
      <w:r>
        <w:rPr>
          <w:i/>
          <w:color w:val="646464"/>
          <w:sz w:val="20"/>
        </w:rPr>
        <w:t>Document maître de réalisation - Claude Code / Node.js</w:t>
      </w:r>
    </w:p>
    <w:p>
      <w:pPr>
        <w:spacing w:before="360"/>
        <w:jc w:val="center"/>
      </w:pPr>
      <w:r>
        <w:rPr>
          <w:b/>
          <w:sz w:val="22"/>
        </w:rPr>
        <w:t>Travail · Efficacité · Solidarité</w:t>
      </w:r>
    </w:p>
    <w:p/>
    <w:p/>
    <w:p/>
    <w:p>
      <w:pPr>
        <w:jc w:val="center"/>
      </w:pPr>
      <w:r>
        <w:rPr>
          <w:color w:val="0B66B2"/>
          <w:sz w:val="20"/>
        </w:rPr>
        <w:t>Site vitrine : fetrag.ga   |   LMS : formation.fetrag.ga</w:t>
      </w:r>
    </w:p>
    <w:p>
      <w:r>
        <w:br w:type="page"/>
      </w:r>
    </w:p>
    <w:p>
      <w:pPr>
        <w:pStyle w:val="Heading1"/>
      </w:pPr>
      <w:r>
        <w:t>Sommaire</w:t>
      </w:r>
    </w:p>
    <w:p>
      <w:pPr>
        <w:spacing w:after="40"/>
        <w:ind w:left="227"/>
      </w:pPr>
      <w:r>
        <w:rPr>
          <w:sz w:val="17"/>
        </w:rPr>
        <w:t>0. Contrôle du document et statut</w:t>
      </w:r>
    </w:p>
    <w:p>
      <w:pPr>
        <w:spacing w:after="40"/>
        <w:ind w:left="227"/>
      </w:pPr>
      <w:r>
        <w:rPr>
          <w:sz w:val="17"/>
        </w:rPr>
        <w:t>1. Objet et note de consolidation</w:t>
      </w:r>
    </w:p>
    <w:p>
      <w:pPr>
        <w:spacing w:after="40"/>
        <w:ind w:left="227"/>
      </w:pPr>
      <w:r>
        <w:rPr>
          <w:sz w:val="17"/>
        </w:rPr>
        <w:t>2. Vision produit</w:t>
      </w:r>
    </w:p>
    <w:p>
      <w:pPr>
        <w:spacing w:after="40"/>
        <w:ind w:left="227"/>
      </w:pPr>
      <w:r>
        <w:rPr>
          <w:sz w:val="17"/>
        </w:rPr>
        <w:t>3. Objectifs stratégiques</w:t>
      </w:r>
    </w:p>
    <w:p>
      <w:pPr>
        <w:spacing w:after="40"/>
        <w:ind w:left="227"/>
      </w:pPr>
      <w:r>
        <w:rPr>
          <w:sz w:val="17"/>
        </w:rPr>
        <w:t>4. Périmètre fonctionnel</w:t>
      </w:r>
    </w:p>
    <w:p>
      <w:pPr>
        <w:spacing w:after="40"/>
        <w:ind w:left="227"/>
      </w:pPr>
      <w:r>
        <w:rPr>
          <w:sz w:val="17"/>
        </w:rPr>
        <w:t>5. Publics et rôles</w:t>
      </w:r>
    </w:p>
    <w:p>
      <w:pPr>
        <w:spacing w:after="40"/>
        <w:ind w:left="227"/>
      </w:pPr>
      <w:r>
        <w:rPr>
          <w:sz w:val="17"/>
        </w:rPr>
        <w:t>6. Architecture cible</w:t>
      </w:r>
    </w:p>
    <w:p>
      <w:pPr>
        <w:spacing w:after="40"/>
        <w:ind w:left="227"/>
      </w:pPr>
      <w:r>
        <w:rPr>
          <w:sz w:val="17"/>
        </w:rPr>
        <w:t>7. Architecture monorepo</w:t>
      </w:r>
    </w:p>
    <w:p>
      <w:pPr>
        <w:spacing w:after="40"/>
        <w:ind w:left="227"/>
      </w:pPr>
      <w:r>
        <w:rPr>
          <w:sz w:val="17"/>
        </w:rPr>
        <w:t>8. Stack technique de référence</w:t>
      </w:r>
    </w:p>
    <w:p>
      <w:pPr>
        <w:spacing w:after="40"/>
        <w:ind w:left="227"/>
      </w:pPr>
      <w:r>
        <w:rPr>
          <w:sz w:val="17"/>
        </w:rPr>
        <w:t>9. Exigences fonctionnelles - site vitrine</w:t>
      </w:r>
    </w:p>
    <w:p>
      <w:pPr>
        <w:spacing w:after="40"/>
        <w:ind w:left="227"/>
      </w:pPr>
      <w:r>
        <w:rPr>
          <w:sz w:val="17"/>
        </w:rPr>
        <w:t>10. Exigences fonctionnelles - LMS</w:t>
      </w:r>
    </w:p>
    <w:p>
      <w:pPr>
        <w:spacing w:after="40"/>
        <w:ind w:left="227"/>
      </w:pPr>
      <w:r>
        <w:rPr>
          <w:sz w:val="17"/>
        </w:rPr>
        <w:t>11. Exigences partagées</w:t>
      </w:r>
    </w:p>
    <w:p>
      <w:pPr>
        <w:spacing w:after="40"/>
        <w:ind w:left="227"/>
      </w:pPr>
      <w:r>
        <w:rPr>
          <w:sz w:val="17"/>
        </w:rPr>
        <w:t>12. Catalogue initial des formations FETRAG</w:t>
      </w:r>
    </w:p>
    <w:p>
      <w:pPr>
        <w:spacing w:after="40"/>
        <w:ind w:left="227"/>
      </w:pPr>
      <w:r>
        <w:rPr>
          <w:sz w:val="17"/>
        </w:rPr>
        <w:t>13. Modèle pédagogique</w:t>
      </w:r>
    </w:p>
    <w:p>
      <w:pPr>
        <w:spacing w:after="40"/>
        <w:ind w:left="227"/>
      </w:pPr>
      <w:r>
        <w:rPr>
          <w:sz w:val="17"/>
        </w:rPr>
        <w:t>14. Workflow de demande institutionnelle</w:t>
      </w:r>
    </w:p>
    <w:p>
      <w:pPr>
        <w:spacing w:after="40"/>
        <w:ind w:left="227"/>
      </w:pPr>
      <w:r>
        <w:rPr>
          <w:sz w:val="17"/>
        </w:rPr>
        <w:t>15. Identité, SSO et autorisations</w:t>
      </w:r>
    </w:p>
    <w:p>
      <w:pPr>
        <w:spacing w:after="40"/>
        <w:ind w:left="227"/>
      </w:pPr>
      <w:r>
        <w:rPr>
          <w:sz w:val="17"/>
        </w:rPr>
        <w:t>16. Modèle de données - domaines</w:t>
      </w:r>
    </w:p>
    <w:p>
      <w:pPr>
        <w:spacing w:after="40"/>
        <w:ind w:left="227"/>
      </w:pPr>
      <w:r>
        <w:rPr>
          <w:sz w:val="17"/>
        </w:rPr>
        <w:t>17. API et contrats</w:t>
      </w:r>
    </w:p>
    <w:p>
      <w:pPr>
        <w:spacing w:after="40"/>
        <w:ind w:left="227"/>
      </w:pPr>
      <w:r>
        <w:rPr>
          <w:sz w:val="17"/>
        </w:rPr>
        <w:t>18. CMS et gouvernance éditoriale</w:t>
      </w:r>
    </w:p>
    <w:p>
      <w:pPr>
        <w:spacing w:after="40"/>
        <w:ind w:left="227"/>
      </w:pPr>
      <w:r>
        <w:rPr>
          <w:sz w:val="17"/>
        </w:rPr>
        <w:t>19. Paiements et modèle économique</w:t>
      </w:r>
    </w:p>
    <w:p>
      <w:pPr>
        <w:spacing w:after="40"/>
        <w:ind w:left="227"/>
      </w:pPr>
      <w:r>
        <w:rPr>
          <w:sz w:val="17"/>
        </w:rPr>
        <w:t>20. Notifications et communication</w:t>
      </w:r>
    </w:p>
    <w:p>
      <w:pPr>
        <w:spacing w:after="40"/>
        <w:ind w:left="227"/>
      </w:pPr>
      <w:r>
        <w:rPr>
          <w:sz w:val="17"/>
        </w:rPr>
        <w:t>21. UX, design system et accessibilité</w:t>
      </w:r>
    </w:p>
    <w:p>
      <w:pPr>
        <w:spacing w:after="40"/>
        <w:ind w:left="227"/>
      </w:pPr>
      <w:r>
        <w:rPr>
          <w:sz w:val="17"/>
        </w:rPr>
        <w:t>22. Bas débit, PWA et continuité d’apprentissage</w:t>
      </w:r>
    </w:p>
    <w:p>
      <w:pPr>
        <w:spacing w:after="40"/>
        <w:ind w:left="227"/>
      </w:pPr>
      <w:r>
        <w:rPr>
          <w:sz w:val="17"/>
        </w:rPr>
        <w:t>23. Sécurité et confidentialité</w:t>
      </w:r>
    </w:p>
    <w:p>
      <w:pPr>
        <w:spacing w:after="40"/>
        <w:ind w:left="227"/>
      </w:pPr>
      <w:r>
        <w:rPr>
          <w:sz w:val="17"/>
        </w:rPr>
        <w:t>24. Performance et qualité de service - cibles proposées</w:t>
      </w:r>
    </w:p>
    <w:p>
      <w:pPr>
        <w:spacing w:after="40"/>
        <w:ind w:left="227"/>
      </w:pPr>
      <w:r>
        <w:rPr>
          <w:sz w:val="17"/>
        </w:rPr>
        <w:t>25. SEO, recherche et découvrabilité</w:t>
      </w:r>
    </w:p>
    <w:p>
      <w:pPr>
        <w:spacing w:after="40"/>
        <w:ind w:left="227"/>
      </w:pPr>
      <w:r>
        <w:rPr>
          <w:sz w:val="17"/>
        </w:rPr>
        <w:t>26. Reporting et tableaux de bord</w:t>
      </w:r>
    </w:p>
    <w:p>
      <w:pPr>
        <w:spacing w:after="40"/>
        <w:ind w:left="227"/>
      </w:pPr>
      <w:r>
        <w:rPr>
          <w:sz w:val="17"/>
        </w:rPr>
        <w:t>27. Environnements, DevOps et déploiement</w:t>
      </w:r>
    </w:p>
    <w:p>
      <w:pPr>
        <w:spacing w:after="40"/>
        <w:ind w:left="227"/>
      </w:pPr>
      <w:r>
        <w:rPr>
          <w:sz w:val="17"/>
        </w:rPr>
        <w:t>28. Sauvegarde, supervision et continuité</w:t>
      </w:r>
    </w:p>
    <w:p>
      <w:pPr>
        <w:spacing w:after="40"/>
        <w:ind w:left="227"/>
      </w:pPr>
      <w:r>
        <w:rPr>
          <w:sz w:val="17"/>
        </w:rPr>
        <w:t>29. Tests et assurance qualité</w:t>
      </w:r>
    </w:p>
    <w:p>
      <w:pPr>
        <w:spacing w:after="40"/>
        <w:ind w:left="227"/>
      </w:pPr>
      <w:r>
        <w:rPr>
          <w:sz w:val="17"/>
        </w:rPr>
        <w:t>30. Critères de recette globale</w:t>
      </w:r>
    </w:p>
    <w:p>
      <w:pPr>
        <w:spacing w:after="40"/>
        <w:ind w:left="227"/>
      </w:pPr>
      <w:r>
        <w:rPr>
          <w:sz w:val="17"/>
        </w:rPr>
        <w:t>31. Phasage recommandé</w:t>
      </w:r>
    </w:p>
    <w:p>
      <w:pPr>
        <w:spacing w:after="40"/>
        <w:ind w:left="227"/>
      </w:pPr>
      <w:r>
        <w:rPr>
          <w:sz w:val="17"/>
        </w:rPr>
        <w:t>32. Priorisation MVP / après MVP</w:t>
      </w:r>
    </w:p>
    <w:p>
      <w:pPr>
        <w:spacing w:after="40"/>
        <w:ind w:left="227"/>
      </w:pPr>
      <w:r>
        <w:rPr>
          <w:sz w:val="17"/>
        </w:rPr>
        <w:t>33. Livrables</w:t>
      </w:r>
    </w:p>
    <w:p>
      <w:pPr>
        <w:spacing w:after="40"/>
        <w:ind w:left="227"/>
      </w:pPr>
      <w:r>
        <w:rPr>
          <w:sz w:val="17"/>
        </w:rPr>
        <w:t>34. Éléments à chiffrer</w:t>
      </w:r>
    </w:p>
    <w:p>
      <w:pPr>
        <w:spacing w:after="40"/>
        <w:ind w:left="227"/>
      </w:pPr>
      <w:r>
        <w:rPr>
          <w:sz w:val="17"/>
        </w:rPr>
        <w:t>35. Hors périmètre initial sauf décision explicite</w:t>
      </w:r>
    </w:p>
    <w:p>
      <w:pPr>
        <w:spacing w:after="40"/>
        <w:ind w:left="227"/>
      </w:pPr>
      <w:r>
        <w:rPr>
          <w:sz w:val="17"/>
        </w:rPr>
        <w:t>36. Décisions à verrouiller au cadrage</w:t>
      </w:r>
    </w:p>
    <w:p>
      <w:pPr>
        <w:spacing w:after="40"/>
        <w:ind w:left="227"/>
      </w:pPr>
      <w:r>
        <w:rPr>
          <w:sz w:val="17"/>
        </w:rPr>
        <w:t>37. Règles de réalisation avec Claude Code</w:t>
      </w:r>
    </w:p>
    <w:p>
      <w:pPr>
        <w:spacing w:after="40"/>
        <w:ind w:left="227"/>
      </w:pPr>
      <w:r>
        <w:rPr>
          <w:sz w:val="17"/>
        </w:rPr>
        <w:t>38. Routes minimales</w:t>
      </w:r>
    </w:p>
    <w:p>
      <w:pPr>
        <w:spacing w:after="40"/>
        <w:ind w:left="227"/>
      </w:pPr>
      <w:r>
        <w:rPr>
          <w:sz w:val="17"/>
        </w:rPr>
        <w:t>39. Variables d’environnement - familles attendues</w:t>
      </w:r>
    </w:p>
    <w:p>
      <w:pPr>
        <w:spacing w:after="40"/>
        <w:ind w:left="227"/>
      </w:pPr>
      <w:r>
        <w:rPr>
          <w:sz w:val="17"/>
        </w:rPr>
        <w:t>40. Seed de démonstration et recette</w:t>
      </w:r>
    </w:p>
    <w:p>
      <w:pPr>
        <w:spacing w:after="40"/>
        <w:ind w:left="227"/>
      </w:pPr>
      <w:r>
        <w:rPr>
          <w:sz w:val="17"/>
        </w:rPr>
        <w:t>41. Réversibilité</w:t>
      </w:r>
    </w:p>
    <w:p>
      <w:pPr>
        <w:spacing w:after="40"/>
        <w:ind w:left="227"/>
      </w:pPr>
      <w:r>
        <w:rPr>
          <w:sz w:val="17"/>
        </w:rPr>
        <w:t>42. Conclusion</w:t>
      </w:r>
    </w:p>
    <w:p>
      <w:r>
        <w:br w:type="page"/>
      </w:r>
    </w:p>
    <w:p>
      <w:r>
        <w:rPr>
          <w:b/>
        </w:rPr>
        <w:t>Site institutionnel fetrag.ga + LMS formation.fetrag.ga - Monorepo Node.js</w:t>
      </w:r>
    </w:p>
    <w:p>
      <w:r>
        <w:rPr>
          <w:b/>
        </w:rPr>
        <w:t>Version 2.0 - Septembre 2026</w:t>
      </w:r>
    </w:p>
    <w:p>
      <w:r>
        <w:t xml:space="preserve">Maîtrise d’ouvrage : </w:t>
      </w:r>
      <w:r>
        <w:rPr>
          <w:b/>
        </w:rPr>
        <w:t>FETRAG - Fédération des Travailleurs du Gabon</w:t>
      </w:r>
    </w:p>
    <w:p>
      <w:r>
        <w:t xml:space="preserve">Devise : </w:t>
      </w:r>
      <w:r>
        <w:rPr>
          <w:b/>
        </w:rPr>
        <w:t>Travail · Efficacité · Solidarité</w:t>
      </w:r>
    </w:p>
    <w:p>
      <w:r>
        <w:t>Document de référence fonctionnel, technique, UX, sécurité, exploitation et recette - destiné à la réalisation neuve de l’écosystème avec Claude Code.</w:t>
      </w:r>
    </w:p>
    <w:p>
      <w:pPr>
        <w:pStyle w:val="Heading1"/>
      </w:pPr>
      <w:r>
        <w:t>0. Contrôle du document et statut</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0B66B2"/>
            <w:vAlign w:val="center"/>
            <w:tcMar>
              <w:top w:w="70" w:type="dxa"/>
              <w:start w:w="70" w:type="dxa"/>
              <w:bottom w:w="70" w:type="dxa"/>
              <w:end w:w="70" w:type="dxa"/>
            </w:tcMar>
          </w:tcPr>
          <w:p>
            <w:pPr>
              <w:pStyle w:val="TableSmall"/>
            </w:pPr>
            <w:r>
              <w:rPr>
                <w:b/>
                <w:color w:val="FFFFFF"/>
                <w:sz w:val="15"/>
              </w:rPr>
              <w:t>Champ</w:t>
            </w:r>
          </w:p>
        </w:tc>
        <w:tc>
          <w:tcPr>
            <w:tcW w:type="dxa" w:w="5213"/>
            <w:shd w:fill="0B66B2"/>
            <w:vAlign w:val="center"/>
            <w:tcMar>
              <w:top w:w="70" w:type="dxa"/>
              <w:start w:w="70" w:type="dxa"/>
              <w:bottom w:w="70" w:type="dxa"/>
              <w:end w:w="70" w:type="dxa"/>
            </w:tcMar>
          </w:tcPr>
          <w:p>
            <w:pPr>
              <w:pStyle w:val="TableSmall"/>
            </w:pPr>
            <w:r>
              <w:rPr>
                <w:b/>
                <w:color w:val="FFFFFF"/>
                <w:sz w:val="15"/>
              </w:rPr>
              <w:t>Valeur</w:t>
            </w:r>
          </w:p>
        </w:tc>
      </w:tr>
      <w:tr>
        <w:tc>
          <w:tcPr>
            <w:tcW w:type="dxa" w:w="5213"/>
            <w:vAlign w:val="top"/>
            <w:tcMar>
              <w:top w:w="65" w:type="dxa"/>
              <w:start w:w="65" w:type="dxa"/>
              <w:bottom w:w="65" w:type="dxa"/>
              <w:end w:w="65" w:type="dxa"/>
            </w:tcMar>
          </w:tcPr>
          <w:p>
            <w:pPr>
              <w:pStyle w:val="TableSmall"/>
            </w:pPr>
            <w:r>
              <w:rPr>
                <w:sz w:val="15"/>
              </w:rPr>
              <w:t>Document</w:t>
            </w:r>
          </w:p>
        </w:tc>
        <w:tc>
          <w:tcPr>
            <w:tcW w:type="dxa" w:w="5213"/>
            <w:vAlign w:val="top"/>
            <w:tcMar>
              <w:top w:w="65" w:type="dxa"/>
              <w:start w:w="65" w:type="dxa"/>
              <w:bottom w:w="65" w:type="dxa"/>
              <w:end w:w="65" w:type="dxa"/>
            </w:tcMar>
          </w:tcPr>
          <w:p>
            <w:pPr>
              <w:pStyle w:val="TableSmall"/>
            </w:pPr>
            <w:r>
              <w:rPr>
                <w:sz w:val="15"/>
              </w:rPr>
              <w:t>Cahier des charges unifié - Portail Web + LMS</w:t>
            </w:r>
          </w:p>
        </w:tc>
      </w:tr>
      <w:tr>
        <w:tc>
          <w:tcPr>
            <w:tcW w:type="dxa" w:w="5213"/>
            <w:vAlign w:val="top"/>
            <w:shd w:fill="F7F9FB"/>
            <w:tcMar>
              <w:top w:w="65" w:type="dxa"/>
              <w:start w:w="65" w:type="dxa"/>
              <w:bottom w:w="65" w:type="dxa"/>
              <w:end w:w="65" w:type="dxa"/>
            </w:tcMar>
          </w:tcPr>
          <w:p>
            <w:pPr>
              <w:pStyle w:val="TableSmall"/>
            </w:pPr>
            <w:r>
              <w:rPr>
                <w:sz w:val="15"/>
              </w:rPr>
              <w:t>Version</w:t>
            </w:r>
          </w:p>
        </w:tc>
        <w:tc>
          <w:tcPr>
            <w:tcW w:type="dxa" w:w="5213"/>
            <w:vAlign w:val="top"/>
            <w:shd w:fill="F7F9FB"/>
            <w:tcMar>
              <w:top w:w="65" w:type="dxa"/>
              <w:start w:w="65" w:type="dxa"/>
              <w:bottom w:w="65" w:type="dxa"/>
              <w:end w:w="65" w:type="dxa"/>
            </w:tcMar>
          </w:tcPr>
          <w:p>
            <w:pPr>
              <w:pStyle w:val="TableSmall"/>
            </w:pPr>
            <w:r>
              <w:rPr>
                <w:sz w:val="15"/>
              </w:rPr>
              <w:t>2.0</w:t>
            </w:r>
          </w:p>
        </w:tc>
      </w:tr>
      <w:tr>
        <w:tc>
          <w:tcPr>
            <w:tcW w:type="dxa" w:w="5213"/>
            <w:vAlign w:val="top"/>
            <w:tcMar>
              <w:top w:w="65" w:type="dxa"/>
              <w:start w:w="65" w:type="dxa"/>
              <w:bottom w:w="65" w:type="dxa"/>
              <w:end w:w="65" w:type="dxa"/>
            </w:tcMar>
          </w:tcPr>
          <w:p>
            <w:pPr>
              <w:pStyle w:val="TableSmall"/>
            </w:pPr>
            <w:r>
              <w:rPr>
                <w:sz w:val="15"/>
              </w:rPr>
              <w:t>Date</w:t>
            </w:r>
          </w:p>
        </w:tc>
        <w:tc>
          <w:tcPr>
            <w:tcW w:type="dxa" w:w="5213"/>
            <w:vAlign w:val="top"/>
            <w:tcMar>
              <w:top w:w="65" w:type="dxa"/>
              <w:start w:w="65" w:type="dxa"/>
              <w:bottom w:w="65" w:type="dxa"/>
              <w:end w:w="65" w:type="dxa"/>
            </w:tcMar>
          </w:tcPr>
          <w:p>
            <w:pPr>
              <w:pStyle w:val="TableSmall"/>
            </w:pPr>
            <w:r>
              <w:rPr>
                <w:sz w:val="15"/>
              </w:rPr>
              <w:t>Septembre 2026</w:t>
            </w:r>
          </w:p>
        </w:tc>
      </w:tr>
      <w:tr>
        <w:tc>
          <w:tcPr>
            <w:tcW w:type="dxa" w:w="5213"/>
            <w:vAlign w:val="top"/>
            <w:shd w:fill="F7F9FB"/>
            <w:tcMar>
              <w:top w:w="65" w:type="dxa"/>
              <w:start w:w="65" w:type="dxa"/>
              <w:bottom w:w="65" w:type="dxa"/>
              <w:end w:w="65" w:type="dxa"/>
            </w:tcMar>
          </w:tcPr>
          <w:p>
            <w:pPr>
              <w:pStyle w:val="TableSmall"/>
            </w:pPr>
            <w:r>
              <w:rPr>
                <w:sz w:val="15"/>
              </w:rPr>
              <w:t>Statut</w:t>
            </w:r>
          </w:p>
        </w:tc>
        <w:tc>
          <w:tcPr>
            <w:tcW w:type="dxa" w:w="5213"/>
            <w:vAlign w:val="top"/>
            <w:shd w:fill="F7F9FB"/>
            <w:tcMar>
              <w:top w:w="65" w:type="dxa"/>
              <w:start w:w="65" w:type="dxa"/>
              <w:bottom w:w="65" w:type="dxa"/>
              <w:end w:w="65" w:type="dxa"/>
            </w:tcMar>
          </w:tcPr>
          <w:p>
            <w:pPr>
              <w:pStyle w:val="TableSmall"/>
            </w:pPr>
            <w:r>
              <w:rPr>
                <w:sz w:val="15"/>
              </w:rPr>
              <w:t>Base de réalisation / à valider par FETRAG</w:t>
            </w:r>
          </w:p>
        </w:tc>
      </w:tr>
      <w:tr>
        <w:tc>
          <w:tcPr>
            <w:tcW w:type="dxa" w:w="5213"/>
            <w:vAlign w:val="top"/>
            <w:tcMar>
              <w:top w:w="65" w:type="dxa"/>
              <w:start w:w="65" w:type="dxa"/>
              <w:bottom w:w="65" w:type="dxa"/>
              <w:end w:w="65" w:type="dxa"/>
            </w:tcMar>
          </w:tcPr>
          <w:p>
            <w:pPr>
              <w:pStyle w:val="TableSmall"/>
            </w:pPr>
            <w:r>
              <w:rPr>
                <w:sz w:val="15"/>
              </w:rPr>
              <w:t>Domaines cibles</w:t>
            </w:r>
          </w:p>
        </w:tc>
        <w:tc>
          <w:tcPr>
            <w:tcW w:type="dxa" w:w="5213"/>
            <w:vAlign w:val="top"/>
            <w:tcMar>
              <w:top w:w="65" w:type="dxa"/>
              <w:start w:w="65" w:type="dxa"/>
              <w:bottom w:w="65" w:type="dxa"/>
              <w:end w:w="65" w:type="dxa"/>
            </w:tcMar>
          </w:tcPr>
          <w:p>
            <w:pPr>
              <w:pStyle w:val="TableSmall"/>
            </w:pPr>
            <w:r>
              <w:rPr>
                <w:sz w:val="15"/>
              </w:rPr>
              <w:t>fetrag.ga ; formation.fetrag.ga</w:t>
            </w:r>
          </w:p>
        </w:tc>
      </w:tr>
      <w:tr>
        <w:tc>
          <w:tcPr>
            <w:tcW w:type="dxa" w:w="5213"/>
            <w:vAlign w:val="top"/>
            <w:shd w:fill="F7F9FB"/>
            <w:tcMar>
              <w:top w:w="65" w:type="dxa"/>
              <w:start w:w="65" w:type="dxa"/>
              <w:bottom w:w="65" w:type="dxa"/>
              <w:end w:w="65" w:type="dxa"/>
            </w:tcMar>
          </w:tcPr>
          <w:p>
            <w:pPr>
              <w:pStyle w:val="TableSmall"/>
            </w:pPr>
            <w:r>
              <w:rPr>
                <w:sz w:val="15"/>
              </w:rPr>
              <w:t>Architecture imposée</w:t>
            </w:r>
          </w:p>
        </w:tc>
        <w:tc>
          <w:tcPr>
            <w:tcW w:type="dxa" w:w="5213"/>
            <w:vAlign w:val="top"/>
            <w:shd w:fill="F7F9FB"/>
            <w:tcMar>
              <w:top w:w="65" w:type="dxa"/>
              <w:start w:w="65" w:type="dxa"/>
              <w:bottom w:w="65" w:type="dxa"/>
              <w:end w:w="65" w:type="dxa"/>
            </w:tcMar>
          </w:tcPr>
          <w:p>
            <w:pPr>
              <w:pStyle w:val="TableSmall"/>
            </w:pPr>
            <w:r>
              <w:rPr>
                <w:sz w:val="15"/>
              </w:rPr>
              <w:t>Monorepo pnpm + Turborepo ; applications Next.js + TypeScript</w:t>
            </w:r>
          </w:p>
        </w:tc>
      </w:tr>
      <w:tr>
        <w:tc>
          <w:tcPr>
            <w:tcW w:type="dxa" w:w="5213"/>
            <w:vAlign w:val="top"/>
            <w:tcMar>
              <w:top w:w="65" w:type="dxa"/>
              <w:start w:w="65" w:type="dxa"/>
              <w:bottom w:w="65" w:type="dxa"/>
              <w:end w:w="65" w:type="dxa"/>
            </w:tcMar>
          </w:tcPr>
          <w:p>
            <w:pPr>
              <w:pStyle w:val="TableSmall"/>
            </w:pPr>
            <w:r>
              <w:rPr>
                <w:sz w:val="15"/>
              </w:rPr>
              <w:t>Base de données</w:t>
            </w:r>
          </w:p>
        </w:tc>
        <w:tc>
          <w:tcPr>
            <w:tcW w:type="dxa" w:w="5213"/>
            <w:vAlign w:val="top"/>
            <w:tcMar>
              <w:top w:w="65" w:type="dxa"/>
              <w:start w:w="65" w:type="dxa"/>
              <w:bottom w:w="65" w:type="dxa"/>
              <w:end w:w="65" w:type="dxa"/>
            </w:tcMar>
          </w:tcPr>
          <w:p>
            <w:pPr>
              <w:pStyle w:val="TableSmall"/>
            </w:pPr>
            <w:r>
              <w:rPr>
                <w:sz w:val="15"/>
              </w:rPr>
              <w:t>PostgreSQL</w:t>
            </w:r>
          </w:p>
        </w:tc>
      </w:tr>
      <w:tr>
        <w:tc>
          <w:tcPr>
            <w:tcW w:type="dxa" w:w="5213"/>
            <w:vAlign w:val="top"/>
            <w:shd w:fill="F7F9FB"/>
            <w:tcMar>
              <w:top w:w="65" w:type="dxa"/>
              <w:start w:w="65" w:type="dxa"/>
              <w:bottom w:w="65" w:type="dxa"/>
              <w:end w:w="65" w:type="dxa"/>
            </w:tcMar>
          </w:tcPr>
          <w:p>
            <w:pPr>
              <w:pStyle w:val="TableSmall"/>
            </w:pPr>
            <w:r>
              <w:rPr>
                <w:sz w:val="15"/>
              </w:rPr>
              <w:t>Périmètre</w:t>
            </w:r>
          </w:p>
        </w:tc>
        <w:tc>
          <w:tcPr>
            <w:tcW w:type="dxa" w:w="5213"/>
            <w:vAlign w:val="top"/>
            <w:shd w:fill="F7F9FB"/>
            <w:tcMar>
              <w:top w:w="65" w:type="dxa"/>
              <w:start w:w="65" w:type="dxa"/>
              <w:bottom w:w="65" w:type="dxa"/>
              <w:end w:w="65" w:type="dxa"/>
            </w:tcMar>
          </w:tcPr>
          <w:p>
            <w:pPr>
              <w:pStyle w:val="TableSmall"/>
            </w:pPr>
            <w:r>
              <w:rPr>
                <w:sz w:val="15"/>
              </w:rPr>
              <w:t>Gabon, extensible régionalement et internationalement</w:t>
            </w:r>
          </w:p>
        </w:tc>
      </w:tr>
      <w:tr>
        <w:tc>
          <w:tcPr>
            <w:tcW w:type="dxa" w:w="5213"/>
            <w:vAlign w:val="top"/>
            <w:tcMar>
              <w:top w:w="65" w:type="dxa"/>
              <w:start w:w="65" w:type="dxa"/>
              <w:bottom w:w="65" w:type="dxa"/>
              <w:end w:w="65" w:type="dxa"/>
            </w:tcMar>
          </w:tcPr>
          <w:p>
            <w:pPr>
              <w:pStyle w:val="TableSmall"/>
            </w:pPr>
            <w:r>
              <w:rPr>
                <w:sz w:val="15"/>
              </w:rPr>
              <w:t>Sources consolidées</w:t>
            </w:r>
          </w:p>
        </w:tc>
        <w:tc>
          <w:tcPr>
            <w:tcW w:type="dxa" w:w="5213"/>
            <w:vAlign w:val="top"/>
            <w:tcMar>
              <w:top w:w="65" w:type="dxa"/>
              <w:start w:w="65" w:type="dxa"/>
              <w:bottom w:w="65" w:type="dxa"/>
              <w:end w:w="65" w:type="dxa"/>
            </w:tcMar>
          </w:tcPr>
          <w:p>
            <w:pPr>
              <w:pStyle w:val="TableSmall"/>
            </w:pPr>
            <w:r>
              <w:rPr>
                <w:sz w:val="15"/>
              </w:rPr>
              <w:t>Cahier des charges Vitrine Web v1.0 ; Cahier des charges LMS v1.0 ; Programme de formation Leaders Syndicaux - Session 2026</w:t>
            </w:r>
          </w:p>
        </w:tc>
      </w:tr>
    </w:tbl>
    <w:p>
      <w:pPr>
        <w:spacing w:after="20"/>
      </w:pPr>
    </w:p>
    <w:p>
      <w:pPr>
        <w:pStyle w:val="Heading1"/>
      </w:pPr>
      <w:r>
        <w:t>1. Objet et note de consolidation</w:t>
      </w:r>
    </w:p>
    <w:p>
      <w:r>
        <w:t xml:space="preserve">Le présent document remplace, pour la construction technique, les deux cahiers des charges séparés « Vitrine Web » et « LMS ». Il conserve les objectifs métier, les parcours, les exigences de sécurité, de mobile-first, de paiement, de reporting et de réversibilité, tout en les traduisant dans une architecture concrète correspondant au choix du maître d’œuvre : </w:t>
      </w:r>
      <w:r>
        <w:rPr>
          <w:b/>
        </w:rPr>
        <w:t>pnpm + Turborepo + Next.js + TypeScript</w:t>
      </w:r>
      <w:r>
        <w:t xml:space="preserve">, dans un </w:t>
      </w:r>
      <w:r>
        <w:rPr>
          <w:b/>
        </w:rPr>
        <w:t>monorepo unique</w:t>
      </w:r>
      <w:r>
        <w:t>.</w:t>
      </w:r>
    </w:p>
    <w:p>
      <w:r>
        <w:t>Les exigences issues des documents FETRAG sont distinguées des décisions d’architecture proposées ici. Les décisions techniques peuvent être ajustées par ADR (Architecture Decision Record), mais une modification ne doit jamais dégrader une exigence MUST sans validation formelle de la FETRAG.</w:t>
      </w:r>
    </w:p>
    <w:p>
      <w:pPr>
        <w:pStyle w:val="Heading1"/>
      </w:pPr>
      <w:r>
        <w:t>2. Vision produit</w:t>
      </w:r>
    </w:p>
    <w:p>
      <w:r>
        <w:t>L’écosystème FETRAG doit donner à l’utilisateur l’impression d’un seul produit numérique : une identité visuelle unique, un seul compte, des transitions transparentes et des services cohérents. Techniquement, il reste modulaire afin que la vitrine, le LMS, l’API et les services d’infrastructure puissent évoluer et être déployés indépendamment.</w:t>
      </w:r>
    </w:p>
    <w:p>
      <w:pPr>
        <w:pStyle w:val="ListBullet"/>
        <w:spacing w:after="40"/>
      </w:pPr>
      <w:r>
        <w:rPr>
          <w:b/>
        </w:rPr>
        <w:t>fetrag.ga</w:t>
      </w:r>
      <w:r>
        <w:t xml:space="preserve"> : communication institutionnelle, actualités, ressources, services, événements, orientation, espace personnel et portail d’accès.</w:t>
      </w:r>
    </w:p>
    <w:p>
      <w:pPr>
        <w:pStyle w:val="ListBullet"/>
        <w:spacing w:after="40"/>
      </w:pPr>
      <w:r>
        <w:rPr>
          <w:b/>
        </w:rPr>
        <w:t>formation.fetrag.ga</w:t>
      </w:r>
      <w:r>
        <w:t xml:space="preserve"> : apprentissage, demandes institutionnelles, cours, cohortes, évaluations, présences, certification, Master Class et reporting pédagogique.</w:t>
      </w:r>
    </w:p>
    <w:p>
      <w:pPr>
        <w:pStyle w:val="ListBullet"/>
        <w:spacing w:after="40"/>
      </w:pPr>
      <w:r>
        <w:rPr>
          <w:b/>
        </w:rPr>
        <w:t>Backend partagé</w:t>
      </w:r>
      <w:r>
        <w:t xml:space="preserve"> : identité, organisations, catalogue, paiements, notifications, stockage, recherche, analytics, audit et API.</w:t>
      </w:r>
    </w:p>
    <w:p>
      <w:pPr>
        <w:pStyle w:val="ListBullet"/>
        <w:spacing w:after="40"/>
      </w:pPr>
      <w:r>
        <w:rPr>
          <w:b/>
        </w:rPr>
        <w:t>Principe directeur</w:t>
      </w:r>
      <w:r>
        <w:t xml:space="preserve"> : tout-en-un pour l’utilisateur, modulaire pour la technique.</w:t>
      </w:r>
    </w:p>
    <w:p>
      <w:pPr>
        <w:pStyle w:val="Heading1"/>
      </w:pPr>
      <w:r>
        <w:t>3. Objectifs stratégiques</w:t>
      </w:r>
    </w:p>
    <w:p>
      <w:pPr>
        <w:pStyle w:val="ListBullet"/>
        <w:spacing w:after="40"/>
      </w:pPr>
      <w:r>
        <w:t>Moderniser la présence institutionnelle de la FETRAG et renforcer visibilité, confiance et transparence.</w:t>
      </w:r>
    </w:p>
    <w:p>
      <w:pPr>
        <w:pStyle w:val="ListBullet"/>
        <w:spacing w:after="40"/>
      </w:pPr>
      <w:r>
        <w:t>Former à grande échelle avec une qualité homogène, traçable et certifiable.</w:t>
      </w:r>
    </w:p>
    <w:p>
      <w:pPr>
        <w:pStyle w:val="ListBullet"/>
        <w:spacing w:after="40"/>
      </w:pPr>
      <w:r>
        <w:t>Rendre les parcours utilisables prioritairement sur smartphone et en connectivité dégradée.</w:t>
      </w:r>
    </w:p>
    <w:p>
      <w:pPr>
        <w:pStyle w:val="ListBullet"/>
        <w:spacing w:after="40"/>
      </w:pPr>
      <w:r>
        <w:t>Digitaliser la demande de formation par les organisations syndicales, de la demande au rapport final.</w:t>
      </w:r>
    </w:p>
    <w:p>
      <w:pPr>
        <w:pStyle w:val="ListBullet"/>
        <w:spacing w:after="40"/>
      </w:pPr>
      <w:r>
        <w:t>Unifier comptes, catalogues, paiements, notifications et indicateurs.</w:t>
      </w:r>
    </w:p>
    <w:p>
      <w:pPr>
        <w:pStyle w:val="ListBullet"/>
        <w:spacing w:after="40"/>
      </w:pPr>
      <w:r>
        <w:t>Préparer un modèle économique durable : formations, certifications, Master Class, services, événements, ressources premium et offres organisations.</w:t>
      </w:r>
    </w:p>
    <w:p>
      <w:pPr>
        <w:pStyle w:val="ListBullet"/>
        <w:spacing w:after="40"/>
      </w:pPr>
      <w:r>
        <w:t>Préparer l’extension à plusieurs langues, pays, organisations et services futurs.</w:t>
      </w:r>
    </w:p>
    <w:p>
      <w:pPr>
        <w:pStyle w:val="Heading1"/>
      </w:pPr>
      <w:r>
        <w:t>4. Périmètre fonctionnel</w:t>
      </w:r>
    </w:p>
    <w:p>
      <w:pPr>
        <w:pStyle w:val="Heading2"/>
      </w:pPr>
      <w:r>
        <w:t>4.1 Site institutionnel / portail - fetrag.ga</w:t>
      </w:r>
    </w:p>
    <w:p>
      <w:pPr>
        <w:pStyle w:val="ListBullet"/>
        <w:spacing w:after="40"/>
      </w:pPr>
      <w:r>
        <w:t>Accueil et proposition de valeur FETRAG.</w:t>
      </w:r>
    </w:p>
    <w:p>
      <w:pPr>
        <w:pStyle w:val="ListBullet"/>
        <w:spacing w:after="40"/>
      </w:pPr>
      <w:r>
        <w:t>Historique, missions, valeurs, gouvernance, organisation et triptyque fondateur.</w:t>
      </w:r>
    </w:p>
    <w:p>
      <w:pPr>
        <w:pStyle w:val="ListBullet"/>
        <w:spacing w:after="40"/>
      </w:pPr>
      <w:r>
        <w:t>Organisations affiliées et partenaires.</w:t>
      </w:r>
    </w:p>
    <w:p>
      <w:pPr>
        <w:pStyle w:val="ListBullet"/>
        <w:spacing w:after="40"/>
      </w:pPr>
      <w:r>
        <w:t>Actualités, communiqués, catégories, partage et recherche.</w:t>
      </w:r>
    </w:p>
    <w:p>
      <w:pPr>
        <w:pStyle w:val="ListBullet"/>
        <w:spacing w:after="40"/>
      </w:pPr>
      <w:r>
        <w:t>Ressources documentaires avec niveaux d’accès.</w:t>
      </w:r>
    </w:p>
    <w:p>
      <w:pPr>
        <w:pStyle w:val="ListBullet"/>
        <w:spacing w:after="40"/>
      </w:pPr>
      <w:r>
        <w:t>Catalogue public de formations provenant du LMS.</w:t>
      </w:r>
    </w:p>
    <w:p>
      <w:pPr>
        <w:pStyle w:val="ListBullet"/>
        <w:spacing w:after="40"/>
      </w:pPr>
      <w:r>
        <w:t>Catalogue des services et formulaires associés.</w:t>
      </w:r>
    </w:p>
    <w:p>
      <w:pPr>
        <w:pStyle w:val="ListBullet"/>
        <w:spacing w:after="40"/>
      </w:pPr>
      <w:r>
        <w:t>Agenda, événements et inscriptions.</w:t>
      </w:r>
    </w:p>
    <w:p>
      <w:pPr>
        <w:pStyle w:val="ListBullet"/>
        <w:spacing w:after="40"/>
      </w:pPr>
      <w:r>
        <w:t>Adhésion/intérêt, contact et partenariats.</w:t>
      </w:r>
    </w:p>
    <w:p>
      <w:pPr>
        <w:pStyle w:val="ListBullet"/>
        <w:spacing w:after="40"/>
      </w:pPr>
      <w:r>
        <w:t>Espace personnel consolidé.</w:t>
      </w:r>
    </w:p>
    <w:p>
      <w:pPr>
        <w:pStyle w:val="ListBullet"/>
        <w:spacing w:after="40"/>
      </w:pPr>
      <w:r>
        <w:t>Paiements, reçus et historique lorsque le service est payant.</w:t>
      </w:r>
    </w:p>
    <w:p>
      <w:pPr>
        <w:pStyle w:val="ListBullet"/>
        <w:spacing w:after="40"/>
      </w:pPr>
      <w:r>
        <w:t>Vérification publique de certificats.</w:t>
      </w:r>
    </w:p>
    <w:p>
      <w:pPr>
        <w:pStyle w:val="Heading2"/>
      </w:pPr>
      <w:r>
        <w:t>4.2 LMS - formation.fetrag.ga</w:t>
      </w:r>
    </w:p>
    <w:p>
      <w:pPr>
        <w:pStyle w:val="ListBullet"/>
        <w:spacing w:after="40"/>
      </w:pPr>
      <w:r>
        <w:t>Catalogue de formations et sessions.</w:t>
      </w:r>
    </w:p>
    <w:p>
      <w:pPr>
        <w:pStyle w:val="ListBullet"/>
        <w:spacing w:after="40"/>
      </w:pPr>
      <w:r>
        <w:t>Parcours asynchrones, synchrones et hybrides.</w:t>
      </w:r>
    </w:p>
    <w:p>
      <w:pPr>
        <w:pStyle w:val="ListBullet"/>
        <w:spacing w:after="40"/>
      </w:pPr>
      <w:r>
        <w:t>Lecteur pédagogique mobile-first.</w:t>
      </w:r>
    </w:p>
    <w:p>
      <w:pPr>
        <w:pStyle w:val="ListBullet"/>
        <w:spacing w:after="40"/>
      </w:pPr>
      <w:r>
        <w:t>Évaluations, devoirs, feedback, progression et achèvement.</w:t>
      </w:r>
    </w:p>
    <w:p>
      <w:pPr>
        <w:pStyle w:val="ListBullet"/>
        <w:spacing w:after="40"/>
      </w:pPr>
      <w:r>
        <w:t>Cohortes, groupes, calendriers, présences et émargement.</w:t>
      </w:r>
    </w:p>
    <w:p>
      <w:pPr>
        <w:pStyle w:val="ListBullet"/>
        <w:spacing w:after="40"/>
      </w:pPr>
      <w:r>
        <w:t>Workflow institutionnel de demande de formation.</w:t>
      </w:r>
    </w:p>
    <w:p>
      <w:pPr>
        <w:pStyle w:val="ListBullet"/>
        <w:spacing w:after="40"/>
      </w:pPr>
      <w:r>
        <w:t>Dashboards apprenant, formateur, organisation, coordination et administration.</w:t>
      </w:r>
    </w:p>
    <w:p>
      <w:pPr>
        <w:pStyle w:val="ListBullet"/>
        <w:spacing w:after="40"/>
      </w:pPr>
      <w:r>
        <w:t>Forums et communications de cours.</w:t>
      </w:r>
    </w:p>
    <w:p>
      <w:pPr>
        <w:pStyle w:val="ListBullet"/>
        <w:spacing w:after="40"/>
      </w:pPr>
      <w:r>
        <w:t>Certificats/attestations avec QR de vérification.</w:t>
      </w:r>
    </w:p>
    <w:p>
      <w:pPr>
        <w:pStyle w:val="ListBullet"/>
        <w:spacing w:after="40"/>
      </w:pPr>
      <w:r>
        <w:t>Master Class et événements de formation.</w:t>
      </w:r>
    </w:p>
    <w:p>
      <w:pPr>
        <w:pStyle w:val="ListBullet"/>
        <w:spacing w:after="40"/>
      </w:pPr>
      <w:r>
        <w:t>Reporting pédagogique et financier.</w:t>
      </w:r>
    </w:p>
    <w:p>
      <w:pPr>
        <w:pStyle w:val="ListBullet"/>
        <w:spacing w:after="40"/>
      </w:pPr>
      <w:r>
        <w:t>Bibliothèque de ressources et interopérabilité H5P/SCORM/xAPI selon phase.</w:t>
      </w:r>
    </w:p>
    <w:p>
      <w:pPr>
        <w:pStyle w:val="Heading1"/>
      </w:pPr>
      <w:r>
        <w:t>5. Publics et rôles</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3475"/>
            <w:shd w:fill="0B66B2"/>
            <w:vAlign w:val="center"/>
            <w:tcMar>
              <w:top w:w="70" w:type="dxa"/>
              <w:start w:w="70" w:type="dxa"/>
              <w:bottom w:w="70" w:type="dxa"/>
              <w:end w:w="70" w:type="dxa"/>
            </w:tcMar>
          </w:tcPr>
          <w:p>
            <w:pPr>
              <w:pStyle w:val="TableSmall"/>
            </w:pPr>
            <w:r>
              <w:rPr>
                <w:b/>
                <w:color w:val="FFFFFF"/>
                <w:sz w:val="15"/>
              </w:rPr>
              <w:t>Rôle</w:t>
            </w:r>
          </w:p>
        </w:tc>
        <w:tc>
          <w:tcPr>
            <w:tcW w:type="dxa" w:w="3475"/>
            <w:shd w:fill="0B66B2"/>
            <w:vAlign w:val="center"/>
            <w:tcMar>
              <w:top w:w="70" w:type="dxa"/>
              <w:start w:w="70" w:type="dxa"/>
              <w:bottom w:w="70" w:type="dxa"/>
              <w:end w:w="70" w:type="dxa"/>
            </w:tcMar>
          </w:tcPr>
          <w:p>
            <w:pPr>
              <w:pStyle w:val="TableSmall"/>
            </w:pPr>
            <w:r>
              <w:rPr>
                <w:b/>
                <w:color w:val="FFFFFF"/>
                <w:sz w:val="15"/>
              </w:rPr>
              <w:t>Portée</w:t>
            </w:r>
          </w:p>
        </w:tc>
        <w:tc>
          <w:tcPr>
            <w:tcW w:type="dxa" w:w="3475"/>
            <w:shd w:fill="0B66B2"/>
            <w:vAlign w:val="center"/>
            <w:tcMar>
              <w:top w:w="70" w:type="dxa"/>
              <w:start w:w="70" w:type="dxa"/>
              <w:bottom w:w="70" w:type="dxa"/>
              <w:end w:w="70" w:type="dxa"/>
            </w:tcMar>
          </w:tcPr>
          <w:p>
            <w:pPr>
              <w:pStyle w:val="TableSmall"/>
            </w:pPr>
            <w:r>
              <w:rPr>
                <w:b/>
                <w:color w:val="FFFFFF"/>
                <w:sz w:val="15"/>
              </w:rPr>
              <w:t>Responsabilités principales</w:t>
            </w:r>
          </w:p>
        </w:tc>
      </w:tr>
      <w:tr>
        <w:tc>
          <w:tcPr>
            <w:tcW w:type="dxa" w:w="3475"/>
            <w:vAlign w:val="top"/>
            <w:tcMar>
              <w:top w:w="65" w:type="dxa"/>
              <w:start w:w="65" w:type="dxa"/>
              <w:bottom w:w="65" w:type="dxa"/>
              <w:end w:w="65" w:type="dxa"/>
            </w:tcMar>
          </w:tcPr>
          <w:p>
            <w:pPr>
              <w:pStyle w:val="TableSmall"/>
            </w:pPr>
            <w:r>
              <w:rPr>
                <w:sz w:val="15"/>
              </w:rPr>
              <w:t>Visiteur</w:t>
            </w:r>
          </w:p>
        </w:tc>
        <w:tc>
          <w:tcPr>
            <w:tcW w:type="dxa" w:w="3475"/>
            <w:vAlign w:val="top"/>
            <w:tcMar>
              <w:top w:w="65" w:type="dxa"/>
              <w:start w:w="65" w:type="dxa"/>
              <w:bottom w:w="65" w:type="dxa"/>
              <w:end w:w="65" w:type="dxa"/>
            </w:tcMar>
          </w:tcPr>
          <w:p>
            <w:pPr>
              <w:pStyle w:val="TableSmall"/>
            </w:pPr>
            <w:r>
              <w:rPr>
                <w:sz w:val="15"/>
              </w:rPr>
              <w:t>Public</w:t>
            </w:r>
          </w:p>
        </w:tc>
        <w:tc>
          <w:tcPr>
            <w:tcW w:type="dxa" w:w="3475"/>
            <w:vAlign w:val="top"/>
            <w:tcMar>
              <w:top w:w="65" w:type="dxa"/>
              <w:start w:w="65" w:type="dxa"/>
              <w:bottom w:w="65" w:type="dxa"/>
              <w:end w:w="65" w:type="dxa"/>
            </w:tcMar>
          </w:tcPr>
          <w:p>
            <w:pPr>
              <w:pStyle w:val="TableSmall"/>
            </w:pPr>
            <w:r>
              <w:rPr>
                <w:sz w:val="15"/>
              </w:rPr>
              <w:t>Consulter contenus publics, rechercher, voir catalogue, vérifier un certificat.</w:t>
            </w:r>
          </w:p>
        </w:tc>
      </w:tr>
      <w:tr>
        <w:tc>
          <w:tcPr>
            <w:tcW w:type="dxa" w:w="3475"/>
            <w:vAlign w:val="top"/>
            <w:shd w:fill="F7F9FB"/>
            <w:tcMar>
              <w:top w:w="65" w:type="dxa"/>
              <w:start w:w="65" w:type="dxa"/>
              <w:bottom w:w="65" w:type="dxa"/>
              <w:end w:w="65" w:type="dxa"/>
            </w:tcMar>
          </w:tcPr>
          <w:p>
            <w:pPr>
              <w:pStyle w:val="TableSmall"/>
            </w:pPr>
            <w:r>
              <w:rPr>
                <w:sz w:val="15"/>
              </w:rPr>
              <w:t>Utilisateur / travailleur</w:t>
            </w:r>
          </w:p>
        </w:tc>
        <w:tc>
          <w:tcPr>
            <w:tcW w:type="dxa" w:w="3475"/>
            <w:vAlign w:val="top"/>
            <w:shd w:fill="F7F9FB"/>
            <w:tcMar>
              <w:top w:w="65" w:type="dxa"/>
              <w:start w:w="65" w:type="dxa"/>
              <w:bottom w:w="65" w:type="dxa"/>
              <w:end w:w="65" w:type="dxa"/>
            </w:tcMar>
          </w:tcPr>
          <w:p>
            <w:pPr>
              <w:pStyle w:val="TableSmall"/>
            </w:pPr>
            <w:r>
              <w:rPr>
                <w:sz w:val="15"/>
              </w:rPr>
              <w:t>Global</w:t>
            </w:r>
          </w:p>
        </w:tc>
        <w:tc>
          <w:tcPr>
            <w:tcW w:type="dxa" w:w="3475"/>
            <w:vAlign w:val="top"/>
            <w:shd w:fill="F7F9FB"/>
            <w:tcMar>
              <w:top w:w="65" w:type="dxa"/>
              <w:start w:w="65" w:type="dxa"/>
              <w:bottom w:w="65" w:type="dxa"/>
              <w:end w:w="65" w:type="dxa"/>
            </w:tcMar>
          </w:tcPr>
          <w:p>
            <w:pPr>
              <w:pStyle w:val="TableSmall"/>
            </w:pPr>
            <w:r>
              <w:rPr>
                <w:sz w:val="15"/>
              </w:rPr>
              <w:t>Gérer son profil, demander un service, s’inscrire, payer, consulter historique.</w:t>
            </w:r>
          </w:p>
        </w:tc>
      </w:tr>
      <w:tr>
        <w:tc>
          <w:tcPr>
            <w:tcW w:type="dxa" w:w="3475"/>
            <w:vAlign w:val="top"/>
            <w:tcMar>
              <w:top w:w="65" w:type="dxa"/>
              <w:start w:w="65" w:type="dxa"/>
              <w:bottom w:w="65" w:type="dxa"/>
              <w:end w:w="65" w:type="dxa"/>
            </w:tcMar>
          </w:tcPr>
          <w:p>
            <w:pPr>
              <w:pStyle w:val="TableSmall"/>
            </w:pPr>
            <w:r>
              <w:rPr>
                <w:sz w:val="15"/>
              </w:rPr>
              <w:t>Apprenant</w:t>
            </w:r>
          </w:p>
        </w:tc>
        <w:tc>
          <w:tcPr>
            <w:tcW w:type="dxa" w:w="3475"/>
            <w:vAlign w:val="top"/>
            <w:tcMar>
              <w:top w:w="65" w:type="dxa"/>
              <w:start w:w="65" w:type="dxa"/>
              <w:bottom w:w="65" w:type="dxa"/>
              <w:end w:w="65" w:type="dxa"/>
            </w:tcMar>
          </w:tcPr>
          <w:p>
            <w:pPr>
              <w:pStyle w:val="TableSmall"/>
            </w:pPr>
            <w:r>
              <w:rPr>
                <w:sz w:val="15"/>
              </w:rPr>
              <w:t>LMS/cours</w:t>
            </w:r>
          </w:p>
        </w:tc>
        <w:tc>
          <w:tcPr>
            <w:tcW w:type="dxa" w:w="3475"/>
            <w:vAlign w:val="top"/>
            <w:tcMar>
              <w:top w:w="65" w:type="dxa"/>
              <w:start w:w="65" w:type="dxa"/>
              <w:bottom w:w="65" w:type="dxa"/>
              <w:end w:w="65" w:type="dxa"/>
            </w:tcMar>
          </w:tcPr>
          <w:p>
            <w:pPr>
              <w:pStyle w:val="TableSmall"/>
            </w:pPr>
            <w:r>
              <w:rPr>
                <w:sz w:val="15"/>
              </w:rPr>
              <w:t>Suivre les cours, activités, évaluations, forums, certificats.</w:t>
            </w:r>
          </w:p>
        </w:tc>
      </w:tr>
      <w:tr>
        <w:tc>
          <w:tcPr>
            <w:tcW w:type="dxa" w:w="3475"/>
            <w:vAlign w:val="top"/>
            <w:shd w:fill="F7F9FB"/>
            <w:tcMar>
              <w:top w:w="65" w:type="dxa"/>
              <w:start w:w="65" w:type="dxa"/>
              <w:bottom w:w="65" w:type="dxa"/>
              <w:end w:w="65" w:type="dxa"/>
            </w:tcMar>
          </w:tcPr>
          <w:p>
            <w:pPr>
              <w:pStyle w:val="TableSmall"/>
            </w:pPr>
            <w:r>
              <w:rPr>
                <w:sz w:val="15"/>
              </w:rPr>
              <w:t>Responsable d’organisation</w:t>
            </w:r>
          </w:p>
        </w:tc>
        <w:tc>
          <w:tcPr>
            <w:tcW w:type="dxa" w:w="3475"/>
            <w:vAlign w:val="top"/>
            <w:shd w:fill="F7F9FB"/>
            <w:tcMar>
              <w:top w:w="65" w:type="dxa"/>
              <w:start w:w="65" w:type="dxa"/>
              <w:bottom w:w="65" w:type="dxa"/>
              <w:end w:w="65" w:type="dxa"/>
            </w:tcMar>
          </w:tcPr>
          <w:p>
            <w:pPr>
              <w:pStyle w:val="TableSmall"/>
            </w:pPr>
            <w:r>
              <w:rPr>
                <w:sz w:val="15"/>
              </w:rPr>
              <w:t>Organisation</w:t>
            </w:r>
          </w:p>
        </w:tc>
        <w:tc>
          <w:tcPr>
            <w:tcW w:type="dxa" w:w="3475"/>
            <w:vAlign w:val="top"/>
            <w:shd w:fill="F7F9FB"/>
            <w:tcMar>
              <w:top w:w="65" w:type="dxa"/>
              <w:start w:w="65" w:type="dxa"/>
              <w:bottom w:w="65" w:type="dxa"/>
              <w:end w:w="65" w:type="dxa"/>
            </w:tcMar>
          </w:tcPr>
          <w:p>
            <w:pPr>
              <w:pStyle w:val="TableSmall"/>
            </w:pPr>
            <w:r>
              <w:rPr>
                <w:sz w:val="15"/>
              </w:rPr>
              <w:t>Soumettre demandes, désigner participants, suivre progression agrégée.</w:t>
            </w:r>
          </w:p>
        </w:tc>
      </w:tr>
      <w:tr>
        <w:tc>
          <w:tcPr>
            <w:tcW w:type="dxa" w:w="3475"/>
            <w:vAlign w:val="top"/>
            <w:tcMar>
              <w:top w:w="65" w:type="dxa"/>
              <w:start w:w="65" w:type="dxa"/>
              <w:bottom w:w="65" w:type="dxa"/>
              <w:end w:w="65" w:type="dxa"/>
            </w:tcMar>
          </w:tcPr>
          <w:p>
            <w:pPr>
              <w:pStyle w:val="TableSmall"/>
            </w:pPr>
            <w:r>
              <w:rPr>
                <w:sz w:val="15"/>
              </w:rPr>
              <w:t>Formateur</w:t>
            </w:r>
          </w:p>
        </w:tc>
        <w:tc>
          <w:tcPr>
            <w:tcW w:type="dxa" w:w="3475"/>
            <w:vAlign w:val="top"/>
            <w:tcMar>
              <w:top w:w="65" w:type="dxa"/>
              <w:start w:w="65" w:type="dxa"/>
              <w:bottom w:w="65" w:type="dxa"/>
              <w:end w:w="65" w:type="dxa"/>
            </w:tcMar>
          </w:tcPr>
          <w:p>
            <w:pPr>
              <w:pStyle w:val="TableSmall"/>
            </w:pPr>
            <w:r>
              <w:rPr>
                <w:sz w:val="15"/>
              </w:rPr>
              <w:t>Cours/session</w:t>
            </w:r>
          </w:p>
        </w:tc>
        <w:tc>
          <w:tcPr>
            <w:tcW w:type="dxa" w:w="3475"/>
            <w:vAlign w:val="top"/>
            <w:tcMar>
              <w:top w:w="65" w:type="dxa"/>
              <w:start w:w="65" w:type="dxa"/>
              <w:bottom w:w="65" w:type="dxa"/>
              <w:end w:w="65" w:type="dxa"/>
            </w:tcMar>
          </w:tcPr>
          <w:p>
            <w:pPr>
              <w:pStyle w:val="TableSmall"/>
            </w:pPr>
            <w:r>
              <w:rPr>
                <w:sz w:val="15"/>
              </w:rPr>
              <w:t>Publier/animer selon habilitation, corriger, gérer présence et feedback.</w:t>
            </w:r>
          </w:p>
        </w:tc>
      </w:tr>
      <w:tr>
        <w:tc>
          <w:tcPr>
            <w:tcW w:type="dxa" w:w="3475"/>
            <w:vAlign w:val="top"/>
            <w:shd w:fill="F7F9FB"/>
            <w:tcMar>
              <w:top w:w="65" w:type="dxa"/>
              <w:start w:w="65" w:type="dxa"/>
              <w:bottom w:w="65" w:type="dxa"/>
              <w:end w:w="65" w:type="dxa"/>
            </w:tcMar>
          </w:tcPr>
          <w:p>
            <w:pPr>
              <w:pStyle w:val="TableSmall"/>
            </w:pPr>
            <w:r>
              <w:rPr>
                <w:sz w:val="15"/>
              </w:rPr>
              <w:t>Coordinateur formation FETRAG</w:t>
            </w:r>
          </w:p>
        </w:tc>
        <w:tc>
          <w:tcPr>
            <w:tcW w:type="dxa" w:w="3475"/>
            <w:vAlign w:val="top"/>
            <w:shd w:fill="F7F9FB"/>
            <w:tcMar>
              <w:top w:w="65" w:type="dxa"/>
              <w:start w:w="65" w:type="dxa"/>
              <w:bottom w:w="65" w:type="dxa"/>
              <w:end w:w="65" w:type="dxa"/>
            </w:tcMar>
          </w:tcPr>
          <w:p>
            <w:pPr>
              <w:pStyle w:val="TableSmall"/>
            </w:pPr>
            <w:r>
              <w:rPr>
                <w:sz w:val="15"/>
              </w:rPr>
              <w:t>LMS global</w:t>
            </w:r>
          </w:p>
        </w:tc>
        <w:tc>
          <w:tcPr>
            <w:tcW w:type="dxa" w:w="3475"/>
            <w:vAlign w:val="top"/>
            <w:shd w:fill="F7F9FB"/>
            <w:tcMar>
              <w:top w:w="65" w:type="dxa"/>
              <w:start w:w="65" w:type="dxa"/>
              <w:bottom w:w="65" w:type="dxa"/>
              <w:end w:w="65" w:type="dxa"/>
            </w:tcMar>
          </w:tcPr>
          <w:p>
            <w:pPr>
              <w:pStyle w:val="TableSmall"/>
            </w:pPr>
            <w:r>
              <w:rPr>
                <w:sz w:val="15"/>
              </w:rPr>
              <w:t>Valider demandes, planifier, créer cohortes, affecter formateurs, clôturer sessions.</w:t>
            </w:r>
          </w:p>
        </w:tc>
      </w:tr>
      <w:tr>
        <w:tc>
          <w:tcPr>
            <w:tcW w:type="dxa" w:w="3475"/>
            <w:vAlign w:val="top"/>
            <w:tcMar>
              <w:top w:w="65" w:type="dxa"/>
              <w:start w:w="65" w:type="dxa"/>
              <w:bottom w:w="65" w:type="dxa"/>
              <w:end w:w="65" w:type="dxa"/>
            </w:tcMar>
          </w:tcPr>
          <w:p>
            <w:pPr>
              <w:pStyle w:val="TableSmall"/>
            </w:pPr>
            <w:r>
              <w:rPr>
                <w:sz w:val="15"/>
              </w:rPr>
              <w:t>Éditeur communication</w:t>
            </w:r>
          </w:p>
        </w:tc>
        <w:tc>
          <w:tcPr>
            <w:tcW w:type="dxa" w:w="3475"/>
            <w:vAlign w:val="top"/>
            <w:tcMar>
              <w:top w:w="65" w:type="dxa"/>
              <w:start w:w="65" w:type="dxa"/>
              <w:bottom w:w="65" w:type="dxa"/>
              <w:end w:w="65" w:type="dxa"/>
            </w:tcMar>
          </w:tcPr>
          <w:p>
            <w:pPr>
              <w:pStyle w:val="TableSmall"/>
            </w:pPr>
            <w:r>
              <w:rPr>
                <w:sz w:val="15"/>
              </w:rPr>
              <w:t>Web</w:t>
            </w:r>
          </w:p>
        </w:tc>
        <w:tc>
          <w:tcPr>
            <w:tcW w:type="dxa" w:w="3475"/>
            <w:vAlign w:val="top"/>
            <w:tcMar>
              <w:top w:w="65" w:type="dxa"/>
              <w:start w:w="65" w:type="dxa"/>
              <w:bottom w:w="65" w:type="dxa"/>
              <w:end w:w="65" w:type="dxa"/>
            </w:tcMar>
          </w:tcPr>
          <w:p>
            <w:pPr>
              <w:pStyle w:val="TableSmall"/>
            </w:pPr>
            <w:r>
              <w:rPr>
                <w:sz w:val="15"/>
              </w:rPr>
              <w:t>Pages, actualités, ressources, agenda, SEO.</w:t>
            </w:r>
          </w:p>
        </w:tc>
      </w:tr>
      <w:tr>
        <w:tc>
          <w:tcPr>
            <w:tcW w:type="dxa" w:w="3475"/>
            <w:vAlign w:val="top"/>
            <w:shd w:fill="F7F9FB"/>
            <w:tcMar>
              <w:top w:w="65" w:type="dxa"/>
              <w:start w:w="65" w:type="dxa"/>
              <w:bottom w:w="65" w:type="dxa"/>
              <w:end w:w="65" w:type="dxa"/>
            </w:tcMar>
          </w:tcPr>
          <w:p>
            <w:pPr>
              <w:pStyle w:val="TableSmall"/>
            </w:pPr>
            <w:r>
              <w:rPr>
                <w:sz w:val="15"/>
              </w:rPr>
              <w:t>Responsable services</w:t>
            </w:r>
          </w:p>
        </w:tc>
        <w:tc>
          <w:tcPr>
            <w:tcW w:type="dxa" w:w="3475"/>
            <w:vAlign w:val="top"/>
            <w:shd w:fill="F7F9FB"/>
            <w:tcMar>
              <w:top w:w="65" w:type="dxa"/>
              <w:start w:w="65" w:type="dxa"/>
              <w:bottom w:w="65" w:type="dxa"/>
              <w:end w:w="65" w:type="dxa"/>
            </w:tcMar>
          </w:tcPr>
          <w:p>
            <w:pPr>
              <w:pStyle w:val="TableSmall"/>
            </w:pPr>
            <w:r>
              <w:rPr>
                <w:sz w:val="15"/>
              </w:rPr>
              <w:t>Web/services</w:t>
            </w:r>
          </w:p>
        </w:tc>
        <w:tc>
          <w:tcPr>
            <w:tcW w:type="dxa" w:w="3475"/>
            <w:vAlign w:val="top"/>
            <w:shd w:fill="F7F9FB"/>
            <w:tcMar>
              <w:top w:w="65" w:type="dxa"/>
              <w:start w:w="65" w:type="dxa"/>
              <w:bottom w:w="65" w:type="dxa"/>
              <w:end w:w="65" w:type="dxa"/>
            </w:tcMar>
          </w:tcPr>
          <w:p>
            <w:pPr>
              <w:pStyle w:val="TableSmall"/>
            </w:pPr>
            <w:r>
              <w:rPr>
                <w:sz w:val="15"/>
              </w:rPr>
              <w:t>Catalogue de services, demandes, statuts, routage.</w:t>
            </w:r>
          </w:p>
        </w:tc>
      </w:tr>
      <w:tr>
        <w:tc>
          <w:tcPr>
            <w:tcW w:type="dxa" w:w="3475"/>
            <w:vAlign w:val="top"/>
            <w:tcMar>
              <w:top w:w="65" w:type="dxa"/>
              <w:start w:w="65" w:type="dxa"/>
              <w:bottom w:w="65" w:type="dxa"/>
              <w:end w:w="65" w:type="dxa"/>
            </w:tcMar>
          </w:tcPr>
          <w:p>
            <w:pPr>
              <w:pStyle w:val="TableSmall"/>
            </w:pPr>
            <w:r>
              <w:rPr>
                <w:sz w:val="15"/>
              </w:rPr>
              <w:t>Finance / contrôle</w:t>
            </w:r>
          </w:p>
        </w:tc>
        <w:tc>
          <w:tcPr>
            <w:tcW w:type="dxa" w:w="3475"/>
            <w:vAlign w:val="top"/>
            <w:tcMar>
              <w:top w:w="65" w:type="dxa"/>
              <w:start w:w="65" w:type="dxa"/>
              <w:bottom w:w="65" w:type="dxa"/>
              <w:end w:w="65" w:type="dxa"/>
            </w:tcMar>
          </w:tcPr>
          <w:p>
            <w:pPr>
              <w:pStyle w:val="TableSmall"/>
            </w:pPr>
            <w:r>
              <w:rPr>
                <w:sz w:val="15"/>
              </w:rPr>
              <w:t>Paiements</w:t>
            </w:r>
          </w:p>
        </w:tc>
        <w:tc>
          <w:tcPr>
            <w:tcW w:type="dxa" w:w="3475"/>
            <w:vAlign w:val="top"/>
            <w:tcMar>
              <w:top w:w="65" w:type="dxa"/>
              <w:start w:w="65" w:type="dxa"/>
              <w:bottom w:w="65" w:type="dxa"/>
              <w:end w:w="65" w:type="dxa"/>
            </w:tcMar>
          </w:tcPr>
          <w:p>
            <w:pPr>
              <w:pStyle w:val="TableSmall"/>
            </w:pPr>
            <w:r>
              <w:rPr>
                <w:sz w:val="15"/>
              </w:rPr>
              <w:t>Transactions, rapprochements, reçus, remboursements autorisés, exports.</w:t>
            </w:r>
          </w:p>
        </w:tc>
      </w:tr>
      <w:tr>
        <w:tc>
          <w:tcPr>
            <w:tcW w:type="dxa" w:w="3475"/>
            <w:vAlign w:val="top"/>
            <w:shd w:fill="F7F9FB"/>
            <w:tcMar>
              <w:top w:w="65" w:type="dxa"/>
              <w:start w:w="65" w:type="dxa"/>
              <w:bottom w:w="65" w:type="dxa"/>
              <w:end w:w="65" w:type="dxa"/>
            </w:tcMar>
          </w:tcPr>
          <w:p>
            <w:pPr>
              <w:pStyle w:val="TableSmall"/>
            </w:pPr>
            <w:r>
              <w:rPr>
                <w:sz w:val="15"/>
              </w:rPr>
              <w:t>Support</w:t>
            </w:r>
          </w:p>
        </w:tc>
        <w:tc>
          <w:tcPr>
            <w:tcW w:type="dxa" w:w="3475"/>
            <w:vAlign w:val="top"/>
            <w:shd w:fill="F7F9FB"/>
            <w:tcMar>
              <w:top w:w="65" w:type="dxa"/>
              <w:start w:w="65" w:type="dxa"/>
              <w:bottom w:w="65" w:type="dxa"/>
              <w:end w:w="65" w:type="dxa"/>
            </w:tcMar>
          </w:tcPr>
          <w:p>
            <w:pPr>
              <w:pStyle w:val="TableSmall"/>
            </w:pPr>
            <w:r>
              <w:rPr>
                <w:sz w:val="15"/>
              </w:rPr>
              <w:t>Support</w:t>
            </w:r>
          </w:p>
        </w:tc>
        <w:tc>
          <w:tcPr>
            <w:tcW w:type="dxa" w:w="3475"/>
            <w:vAlign w:val="top"/>
            <w:shd w:fill="F7F9FB"/>
            <w:tcMar>
              <w:top w:w="65" w:type="dxa"/>
              <w:start w:w="65" w:type="dxa"/>
              <w:bottom w:w="65" w:type="dxa"/>
              <w:end w:w="65" w:type="dxa"/>
            </w:tcMar>
          </w:tcPr>
          <w:p>
            <w:pPr>
              <w:pStyle w:val="TableSmall"/>
            </w:pPr>
            <w:r>
              <w:rPr>
                <w:sz w:val="15"/>
              </w:rPr>
              <w:t>Assistance et diagnostic sans accès excessif au dossier pédagogique.</w:t>
            </w:r>
          </w:p>
        </w:tc>
      </w:tr>
      <w:tr>
        <w:tc>
          <w:tcPr>
            <w:tcW w:type="dxa" w:w="3475"/>
            <w:vAlign w:val="top"/>
            <w:tcMar>
              <w:top w:w="65" w:type="dxa"/>
              <w:start w:w="65" w:type="dxa"/>
              <w:bottom w:w="65" w:type="dxa"/>
              <w:end w:w="65" w:type="dxa"/>
            </w:tcMar>
          </w:tcPr>
          <w:p>
            <w:pPr>
              <w:pStyle w:val="TableSmall"/>
            </w:pPr>
            <w:r>
              <w:rPr>
                <w:sz w:val="15"/>
              </w:rPr>
              <w:t>Super administrateur</w:t>
            </w:r>
          </w:p>
        </w:tc>
        <w:tc>
          <w:tcPr>
            <w:tcW w:type="dxa" w:w="3475"/>
            <w:vAlign w:val="top"/>
            <w:tcMar>
              <w:top w:w="65" w:type="dxa"/>
              <w:start w:w="65" w:type="dxa"/>
              <w:bottom w:w="65" w:type="dxa"/>
              <w:end w:w="65" w:type="dxa"/>
            </w:tcMar>
          </w:tcPr>
          <w:p>
            <w:pPr>
              <w:pStyle w:val="TableSmall"/>
            </w:pPr>
            <w:r>
              <w:rPr>
                <w:sz w:val="15"/>
              </w:rPr>
              <w:t>Global</w:t>
            </w:r>
          </w:p>
        </w:tc>
        <w:tc>
          <w:tcPr>
            <w:tcW w:type="dxa" w:w="3475"/>
            <w:vAlign w:val="top"/>
            <w:tcMar>
              <w:top w:w="65" w:type="dxa"/>
              <w:start w:w="65" w:type="dxa"/>
              <w:bottom w:w="65" w:type="dxa"/>
              <w:end w:w="65" w:type="dxa"/>
            </w:tcMar>
          </w:tcPr>
          <w:p>
            <w:pPr>
              <w:pStyle w:val="TableSmall"/>
            </w:pPr>
            <w:r>
              <w:rPr>
                <w:sz w:val="15"/>
              </w:rPr>
              <w:t>Paramétrage, sécurité, rôles, intégrations, audit.</w:t>
            </w:r>
          </w:p>
        </w:tc>
      </w:tr>
    </w:tbl>
    <w:p>
      <w:pPr>
        <w:spacing w:after="20"/>
      </w:pPr>
    </w:p>
    <w:p>
      <w:pPr>
        <w:pStyle w:val="Heading1"/>
      </w:pPr>
      <w:r>
        <w:t>6. Architecture cible</w:t>
      </w:r>
    </w:p>
    <w:p>
      <w:r>
        <w:t>Architecture logique recommandée :</w:t>
      </w:r>
    </w:p>
    <w:p>
      <w:r>
        <w:rPr>
          <w:b/>
        </w:rPr>
        <w:t>Utilisateur -&gt; fetrag.ga / formation.fetrag.ga -&gt; IdP OIDC -&gt; API partagée -&gt; PostgreSQL / Redis / S3 / services de notification et paiement.</w:t>
      </w:r>
    </w:p>
    <w:p>
      <w:pPr>
        <w:pStyle w:val="ListBullet"/>
        <w:spacing w:after="40"/>
      </w:pPr>
      <w:r>
        <w:t xml:space="preserve">Les deux interfaces publiques sont des applications </w:t>
      </w:r>
      <w:r>
        <w:rPr>
          <w:b/>
        </w:rPr>
        <w:t>Next.js</w:t>
      </w:r>
      <w:r>
        <w:t xml:space="preserve"> distinctes dans le même monorepo.</w:t>
      </w:r>
    </w:p>
    <w:p>
      <w:pPr>
        <w:pStyle w:val="ListBullet"/>
        <w:spacing w:after="40"/>
      </w:pPr>
      <w:r>
        <w:t xml:space="preserve">L’API métier partagée est un service </w:t>
      </w:r>
      <w:r>
        <w:rPr>
          <w:b/>
        </w:rPr>
        <w:t>Node.js TypeScript</w:t>
      </w:r>
      <w:r>
        <w:t xml:space="preserve"> (Fastify recommandé) afin de centraliser autorisations, règles métier, intégrations et futur accès mobile.</w:t>
      </w:r>
    </w:p>
    <w:p>
      <w:pPr>
        <w:pStyle w:val="ListBullet"/>
        <w:spacing w:after="40"/>
      </w:pPr>
      <w:r>
        <w:t xml:space="preserve">Les traitements asynchrones sont délégués à un </w:t>
      </w:r>
      <w:r>
        <w:rPr>
          <w:b/>
        </w:rPr>
        <w:t>worker Node.js</w:t>
      </w:r>
      <w:r>
        <w:t xml:space="preserve"> et une file de jobs (Redis/BullMQ ou équivalent).</w:t>
      </w:r>
    </w:p>
    <w:p>
      <w:pPr>
        <w:pStyle w:val="ListBullet"/>
        <w:spacing w:after="40"/>
      </w:pPr>
      <w:r>
        <w:t>PostgreSQL est la source de vérité relationnelle.</w:t>
      </w:r>
    </w:p>
    <w:p>
      <w:pPr>
        <w:pStyle w:val="ListBullet"/>
        <w:spacing w:after="40"/>
      </w:pPr>
      <w:r>
        <w:t>Les médias et pièces jointes sont conservés dans un stockage objet S3-compatible.</w:t>
      </w:r>
    </w:p>
    <w:p>
      <w:pPr>
        <w:pStyle w:val="ListBullet"/>
        <w:spacing w:after="40"/>
      </w:pPr>
      <w:r>
        <w:t>Le fournisseur d’identité est un composant OIDC/OAuth2 dédié ; les applications ne doivent pas fabriquer un protocole SSO maison.</w:t>
      </w:r>
    </w:p>
    <w:p>
      <w:pPr>
        <w:pStyle w:val="ListBullet"/>
        <w:spacing w:after="40"/>
      </w:pPr>
      <w:r>
        <w:t>Les services externes (paiement, email, SMS/WhatsApp, visio, analytics) sont intégrés par adaptateurs.</w:t>
      </w:r>
    </w:p>
    <w:p>
      <w:pPr>
        <w:pStyle w:val="Heading1"/>
      </w:pPr>
      <w:r>
        <w:t>7. Architecture monorepo</w:t>
      </w:r>
    </w:p>
    <w:p>
      <w:pPr>
        <w:pStyle w:val="NoSpacing"/>
        <w:spacing w:before="60" w:after="120"/>
        <w:ind w:left="170" w:right="170"/>
      </w:pPr>
      <w:r>
        <w:rPr>
          <w:rFonts w:ascii="Consolas" w:hAnsi="Consolas"/>
          <w:sz w:val="15"/>
        </w:rPr>
        <w:t>fetrag/</w:t>
        <w:br/>
        <w:t>├─ apps/</w:t>
        <w:br/>
        <w:t>│  ├─ web/                 # Next.js — fetrag.ga</w:t>
        <w:br/>
        <w:t>│  ├─ lms/                 # Next.js — formation.fetrag.ga</w:t>
        <w:br/>
        <w:t>│  ├─ api/                 # Fastify/TypeScript — API métier partagée</w:t>
        <w:br/>
        <w:t>│  └─ worker/              # Jobs asynchrones : email, certificats, webhooks, exports</w:t>
        <w:br/>
        <w:t>├─ packages/</w:t>
        <w:br/>
        <w:t>│  ├─ ui/                  # composants React partagés</w:t>
        <w:br/>
        <w:t>│  ├─ design-tokens/       # couleurs, typographies, espaces, icônes</w:t>
        <w:br/>
        <w:t>│  ├─ contracts/           # schémas Zod, DTO, erreurs, événements</w:t>
        <w:br/>
        <w:t>│  ├─ db/                  # Prisma, migrations, seed</w:t>
        <w:br/>
        <w:t>│  ├─ auth/                # client OIDC, guards, RBAC/scopes</w:t>
        <w:br/>
        <w:t>│  ├─ domain/              # règles métier communes</w:t>
        <w:br/>
        <w:t>│  ├─ cms/                 # logique éditoriale</w:t>
        <w:br/>
        <w:t>│  ├─ lms-core/            # progression, activités, évaluation, certification</w:t>
        <w:br/>
        <w:t>│  ├─ payments/            # interface PSP + adaptateurs</w:t>
        <w:br/>
        <w:t>│  ├─ storage/             # S3, URLs signées, politiques d’accès</w:t>
        <w:br/>
        <w:t>│  ├─ notifications/       # orchestration email/interne/SMS/WhatsApp</w:t>
        <w:br/>
        <w:t>│  ├─ search/              # recherche PostgreSQL et abstractions</w:t>
        <w:br/>
        <w:t>│  ├─ analytics/           # événements métier et agrégations</w:t>
        <w:br/>
        <w:t>│  ├─ observability/       # logs, traces, métriques</w:t>
        <w:br/>
        <w:t>│  ├─ config/              # env validé et config runtime</w:t>
        <w:br/>
        <w:t>│  ├─ eslint-config/</w:t>
        <w:br/>
        <w:t>│  ├─ tsconfig/</w:t>
        <w:br/>
        <w:t>│  └─ testing/</w:t>
        <w:br/>
        <w:t>├─ infra/</w:t>
        <w:br/>
        <w:t>│  ├─ docker/</w:t>
        <w:br/>
        <w:t>│  ├─ proxy/</w:t>
        <w:br/>
        <w:t>│  └─ deployment/</w:t>
        <w:br/>
        <w:t>├─ docs/</w:t>
        <w:br/>
        <w:t>│  ├─ architecture/</w:t>
        <w:br/>
        <w:t>│  ├─ adr/</w:t>
        <w:br/>
        <w:t>│  ├─ api/</w:t>
        <w:br/>
        <w:t>│  └─ runbooks/</w:t>
        <w:br/>
        <w:t>├─ scripts/</w:t>
        <w:br/>
        <w:t>├─ pnpm-workspace.yaml</w:t>
        <w:br/>
        <w:t>├─ turbo.json</w:t>
        <w:br/>
        <w:t>├─ package.json</w:t>
        <w:br/>
        <w:t>└─ README.md</w:t>
      </w:r>
    </w:p>
    <w:p>
      <w:r>
        <w:t>Règle de dépendance : les applications peuvent dépendre des packages partagés, mais les packages de domaine ne dépendent jamais des applications. Les adaptateurs d’infrastructure dépendent des contrats du domaine et non l’inverse. Toute logique métier partagée doit vivre hors des pages React.</w:t>
      </w:r>
    </w:p>
    <w:p>
      <w:pPr>
        <w:pStyle w:val="Heading1"/>
      </w:pPr>
      <w:r>
        <w:t>8. Stack technique de référence</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3475"/>
            <w:shd w:fill="0B66B2"/>
            <w:vAlign w:val="center"/>
            <w:tcMar>
              <w:top w:w="70" w:type="dxa"/>
              <w:start w:w="70" w:type="dxa"/>
              <w:bottom w:w="70" w:type="dxa"/>
              <w:end w:w="70" w:type="dxa"/>
            </w:tcMar>
          </w:tcPr>
          <w:p>
            <w:pPr>
              <w:pStyle w:val="TableSmall"/>
            </w:pPr>
            <w:r>
              <w:rPr>
                <w:b/>
                <w:color w:val="FFFFFF"/>
                <w:sz w:val="15"/>
              </w:rPr>
              <w:t>Couche</w:t>
            </w:r>
          </w:p>
        </w:tc>
        <w:tc>
          <w:tcPr>
            <w:tcW w:type="dxa" w:w="3475"/>
            <w:shd w:fill="0B66B2"/>
            <w:vAlign w:val="center"/>
            <w:tcMar>
              <w:top w:w="70" w:type="dxa"/>
              <w:start w:w="70" w:type="dxa"/>
              <w:bottom w:w="70" w:type="dxa"/>
              <w:end w:w="70" w:type="dxa"/>
            </w:tcMar>
          </w:tcPr>
          <w:p>
            <w:pPr>
              <w:pStyle w:val="TableSmall"/>
            </w:pPr>
            <w:r>
              <w:rPr>
                <w:b/>
                <w:color w:val="FFFFFF"/>
                <w:sz w:val="15"/>
              </w:rPr>
              <w:t>Choix de référence</w:t>
            </w:r>
          </w:p>
        </w:tc>
        <w:tc>
          <w:tcPr>
            <w:tcW w:type="dxa" w:w="3475"/>
            <w:shd w:fill="0B66B2"/>
            <w:vAlign w:val="center"/>
            <w:tcMar>
              <w:top w:w="70" w:type="dxa"/>
              <w:start w:w="70" w:type="dxa"/>
              <w:bottom w:w="70" w:type="dxa"/>
              <w:end w:w="70" w:type="dxa"/>
            </w:tcMar>
          </w:tcPr>
          <w:p>
            <w:pPr>
              <w:pStyle w:val="TableSmall"/>
            </w:pPr>
            <w:r>
              <w:rPr>
                <w:b/>
                <w:color w:val="FFFFFF"/>
                <w:sz w:val="15"/>
              </w:rPr>
              <w:t>Règle</w:t>
            </w:r>
          </w:p>
        </w:tc>
      </w:tr>
      <w:tr>
        <w:tc>
          <w:tcPr>
            <w:tcW w:type="dxa" w:w="3475"/>
            <w:vAlign w:val="top"/>
            <w:tcMar>
              <w:top w:w="65" w:type="dxa"/>
              <w:start w:w="65" w:type="dxa"/>
              <w:bottom w:w="65" w:type="dxa"/>
              <w:end w:w="65" w:type="dxa"/>
            </w:tcMar>
          </w:tcPr>
          <w:p>
            <w:pPr>
              <w:pStyle w:val="TableSmall"/>
            </w:pPr>
            <w:r>
              <w:rPr>
                <w:sz w:val="15"/>
              </w:rPr>
              <w:t>Workspace</w:t>
            </w:r>
          </w:p>
        </w:tc>
        <w:tc>
          <w:tcPr>
            <w:tcW w:type="dxa" w:w="3475"/>
            <w:vAlign w:val="top"/>
            <w:tcMar>
              <w:top w:w="65" w:type="dxa"/>
              <w:start w:w="65" w:type="dxa"/>
              <w:bottom w:w="65" w:type="dxa"/>
              <w:end w:w="65" w:type="dxa"/>
            </w:tcMar>
          </w:tcPr>
          <w:p>
            <w:pPr>
              <w:pStyle w:val="TableSmall"/>
            </w:pPr>
            <w:r>
              <w:rPr>
                <w:sz w:val="15"/>
              </w:rPr>
              <w:t>pnpm workspaces + Turborepo</w:t>
            </w:r>
          </w:p>
        </w:tc>
        <w:tc>
          <w:tcPr>
            <w:tcW w:type="dxa" w:w="3475"/>
            <w:vAlign w:val="top"/>
            <w:tcMar>
              <w:top w:w="65" w:type="dxa"/>
              <w:start w:w="65" w:type="dxa"/>
              <w:bottom w:w="65" w:type="dxa"/>
              <w:end w:w="65" w:type="dxa"/>
            </w:tcMar>
          </w:tcPr>
          <w:p>
            <w:pPr>
              <w:pStyle w:val="TableSmall"/>
            </w:pPr>
            <w:r>
              <w:rPr>
                <w:sz w:val="15"/>
              </w:rPr>
              <w:t>Versions épinglées ; cache Turbo ; commandes homogènes.</w:t>
            </w:r>
          </w:p>
        </w:tc>
      </w:tr>
      <w:tr>
        <w:tc>
          <w:tcPr>
            <w:tcW w:type="dxa" w:w="3475"/>
            <w:vAlign w:val="top"/>
            <w:shd w:fill="F7F9FB"/>
            <w:tcMar>
              <w:top w:w="65" w:type="dxa"/>
              <w:start w:w="65" w:type="dxa"/>
              <w:bottom w:w="65" w:type="dxa"/>
              <w:end w:w="65" w:type="dxa"/>
            </w:tcMar>
          </w:tcPr>
          <w:p>
            <w:pPr>
              <w:pStyle w:val="TableSmall"/>
            </w:pPr>
            <w:r>
              <w:rPr>
                <w:sz w:val="15"/>
              </w:rPr>
              <w:t>Frontends</w:t>
            </w:r>
          </w:p>
        </w:tc>
        <w:tc>
          <w:tcPr>
            <w:tcW w:type="dxa" w:w="3475"/>
            <w:vAlign w:val="top"/>
            <w:shd w:fill="F7F9FB"/>
            <w:tcMar>
              <w:top w:w="65" w:type="dxa"/>
              <w:start w:w="65" w:type="dxa"/>
              <w:bottom w:w="65" w:type="dxa"/>
              <w:end w:w="65" w:type="dxa"/>
            </w:tcMar>
          </w:tcPr>
          <w:p>
            <w:pPr>
              <w:pStyle w:val="TableSmall"/>
            </w:pPr>
            <w:r>
              <w:rPr>
                <w:sz w:val="15"/>
              </w:rPr>
              <w:t>Next.js App Router + React + TypeScript strict</w:t>
            </w:r>
          </w:p>
        </w:tc>
        <w:tc>
          <w:tcPr>
            <w:tcW w:type="dxa" w:w="3475"/>
            <w:vAlign w:val="top"/>
            <w:shd w:fill="F7F9FB"/>
            <w:tcMar>
              <w:top w:w="65" w:type="dxa"/>
              <w:start w:w="65" w:type="dxa"/>
              <w:bottom w:w="65" w:type="dxa"/>
              <w:end w:w="65" w:type="dxa"/>
            </w:tcMar>
          </w:tcPr>
          <w:p>
            <w:pPr>
              <w:pStyle w:val="TableSmall"/>
            </w:pPr>
            <w:r>
              <w:rPr>
                <w:sz w:val="15"/>
              </w:rPr>
              <w:t>SSR/SSG pour le public, Server Components quand pertinent.</w:t>
            </w:r>
          </w:p>
        </w:tc>
      </w:tr>
      <w:tr>
        <w:tc>
          <w:tcPr>
            <w:tcW w:type="dxa" w:w="3475"/>
            <w:vAlign w:val="top"/>
            <w:tcMar>
              <w:top w:w="65" w:type="dxa"/>
              <w:start w:w="65" w:type="dxa"/>
              <w:bottom w:w="65" w:type="dxa"/>
              <w:end w:w="65" w:type="dxa"/>
            </w:tcMar>
          </w:tcPr>
          <w:p>
            <w:pPr>
              <w:pStyle w:val="TableSmall"/>
            </w:pPr>
            <w:r>
              <w:rPr>
                <w:sz w:val="15"/>
              </w:rPr>
              <w:t>API</w:t>
            </w:r>
          </w:p>
        </w:tc>
        <w:tc>
          <w:tcPr>
            <w:tcW w:type="dxa" w:w="3475"/>
            <w:vAlign w:val="top"/>
            <w:tcMar>
              <w:top w:w="65" w:type="dxa"/>
              <w:start w:w="65" w:type="dxa"/>
              <w:bottom w:w="65" w:type="dxa"/>
              <w:end w:w="65" w:type="dxa"/>
            </w:tcMar>
          </w:tcPr>
          <w:p>
            <w:pPr>
              <w:pStyle w:val="TableSmall"/>
            </w:pPr>
            <w:r>
              <w:rPr>
                <w:sz w:val="15"/>
              </w:rPr>
              <w:t>Fastify + TypeScript</w:t>
            </w:r>
          </w:p>
        </w:tc>
        <w:tc>
          <w:tcPr>
            <w:tcW w:type="dxa" w:w="3475"/>
            <w:vAlign w:val="top"/>
            <w:tcMar>
              <w:top w:w="65" w:type="dxa"/>
              <w:start w:w="65" w:type="dxa"/>
              <w:bottom w:w="65" w:type="dxa"/>
              <w:end w:w="65" w:type="dxa"/>
            </w:tcMar>
          </w:tcPr>
          <w:p>
            <w:pPr>
              <w:pStyle w:val="TableSmall"/>
            </w:pPr>
            <w:r>
              <w:rPr>
                <w:sz w:val="15"/>
              </w:rPr>
              <w:t>REST /v1, OpenAPI, validation Zod.</w:t>
            </w:r>
          </w:p>
        </w:tc>
      </w:tr>
      <w:tr>
        <w:tc>
          <w:tcPr>
            <w:tcW w:type="dxa" w:w="3475"/>
            <w:vAlign w:val="top"/>
            <w:shd w:fill="F7F9FB"/>
            <w:tcMar>
              <w:top w:w="65" w:type="dxa"/>
              <w:start w:w="65" w:type="dxa"/>
              <w:bottom w:w="65" w:type="dxa"/>
              <w:end w:w="65" w:type="dxa"/>
            </w:tcMar>
          </w:tcPr>
          <w:p>
            <w:pPr>
              <w:pStyle w:val="TableSmall"/>
            </w:pPr>
            <w:r>
              <w:rPr>
                <w:sz w:val="15"/>
              </w:rPr>
              <w:t>UI</w:t>
            </w:r>
          </w:p>
        </w:tc>
        <w:tc>
          <w:tcPr>
            <w:tcW w:type="dxa" w:w="3475"/>
            <w:vAlign w:val="top"/>
            <w:shd w:fill="F7F9FB"/>
            <w:tcMar>
              <w:top w:w="65" w:type="dxa"/>
              <w:start w:w="65" w:type="dxa"/>
              <w:bottom w:w="65" w:type="dxa"/>
              <w:end w:w="65" w:type="dxa"/>
            </w:tcMar>
          </w:tcPr>
          <w:p>
            <w:pPr>
              <w:pStyle w:val="TableSmall"/>
            </w:pPr>
            <w:r>
              <w:rPr>
                <w:sz w:val="15"/>
              </w:rPr>
              <w:t>Tailwind CSS + primitives accessibles</w:t>
            </w:r>
          </w:p>
        </w:tc>
        <w:tc>
          <w:tcPr>
            <w:tcW w:type="dxa" w:w="3475"/>
            <w:vAlign w:val="top"/>
            <w:shd w:fill="F7F9FB"/>
            <w:tcMar>
              <w:top w:w="65" w:type="dxa"/>
              <w:start w:w="65" w:type="dxa"/>
              <w:bottom w:w="65" w:type="dxa"/>
              <w:end w:w="65" w:type="dxa"/>
            </w:tcMar>
          </w:tcPr>
          <w:p>
            <w:pPr>
              <w:pStyle w:val="TableSmall"/>
            </w:pPr>
            <w:r>
              <w:rPr>
                <w:sz w:val="15"/>
              </w:rPr>
              <w:t>Composants dans packages/ui ; pas de duplication de design.</w:t>
            </w:r>
          </w:p>
        </w:tc>
      </w:tr>
      <w:tr>
        <w:tc>
          <w:tcPr>
            <w:tcW w:type="dxa" w:w="3475"/>
            <w:vAlign w:val="top"/>
            <w:tcMar>
              <w:top w:w="65" w:type="dxa"/>
              <w:start w:w="65" w:type="dxa"/>
              <w:bottom w:w="65" w:type="dxa"/>
              <w:end w:w="65" w:type="dxa"/>
            </w:tcMar>
          </w:tcPr>
          <w:p>
            <w:pPr>
              <w:pStyle w:val="TableSmall"/>
            </w:pPr>
            <w:r>
              <w:rPr>
                <w:sz w:val="15"/>
              </w:rPr>
              <w:t>ORM</w:t>
            </w:r>
          </w:p>
        </w:tc>
        <w:tc>
          <w:tcPr>
            <w:tcW w:type="dxa" w:w="3475"/>
            <w:vAlign w:val="top"/>
            <w:tcMar>
              <w:top w:w="65" w:type="dxa"/>
              <w:start w:w="65" w:type="dxa"/>
              <w:bottom w:w="65" w:type="dxa"/>
              <w:end w:w="65" w:type="dxa"/>
            </w:tcMar>
          </w:tcPr>
          <w:p>
            <w:pPr>
              <w:pStyle w:val="TableSmall"/>
            </w:pPr>
            <w:r>
              <w:rPr>
                <w:sz w:val="15"/>
              </w:rPr>
              <w:t>Prisma ORM</w:t>
            </w:r>
          </w:p>
        </w:tc>
        <w:tc>
          <w:tcPr>
            <w:tcW w:type="dxa" w:w="3475"/>
            <w:vAlign w:val="top"/>
            <w:tcMar>
              <w:top w:w="65" w:type="dxa"/>
              <w:start w:w="65" w:type="dxa"/>
              <w:bottom w:w="65" w:type="dxa"/>
              <w:end w:w="65" w:type="dxa"/>
            </w:tcMar>
          </w:tcPr>
          <w:p>
            <w:pPr>
              <w:pStyle w:val="TableSmall"/>
            </w:pPr>
            <w:r>
              <w:rPr>
                <w:sz w:val="15"/>
              </w:rPr>
              <w:t>Migrations versionnées ; transactions sur opérations critiques.</w:t>
            </w:r>
          </w:p>
        </w:tc>
      </w:tr>
      <w:tr>
        <w:tc>
          <w:tcPr>
            <w:tcW w:type="dxa" w:w="3475"/>
            <w:vAlign w:val="top"/>
            <w:shd w:fill="F7F9FB"/>
            <w:tcMar>
              <w:top w:w="65" w:type="dxa"/>
              <w:start w:w="65" w:type="dxa"/>
              <w:bottom w:w="65" w:type="dxa"/>
              <w:end w:w="65" w:type="dxa"/>
            </w:tcMar>
          </w:tcPr>
          <w:p>
            <w:pPr>
              <w:pStyle w:val="TableSmall"/>
            </w:pPr>
            <w:r>
              <w:rPr>
                <w:sz w:val="15"/>
              </w:rPr>
              <w:t>Données</w:t>
            </w:r>
          </w:p>
        </w:tc>
        <w:tc>
          <w:tcPr>
            <w:tcW w:type="dxa" w:w="3475"/>
            <w:vAlign w:val="top"/>
            <w:shd w:fill="F7F9FB"/>
            <w:tcMar>
              <w:top w:w="65" w:type="dxa"/>
              <w:start w:w="65" w:type="dxa"/>
              <w:bottom w:w="65" w:type="dxa"/>
              <w:end w:w="65" w:type="dxa"/>
            </w:tcMar>
          </w:tcPr>
          <w:p>
            <w:pPr>
              <w:pStyle w:val="TableSmall"/>
            </w:pPr>
            <w:r>
              <w:rPr>
                <w:sz w:val="15"/>
              </w:rPr>
              <w:t>PostgreSQL</w:t>
            </w:r>
          </w:p>
        </w:tc>
        <w:tc>
          <w:tcPr>
            <w:tcW w:type="dxa" w:w="3475"/>
            <w:vAlign w:val="top"/>
            <w:shd w:fill="F7F9FB"/>
            <w:tcMar>
              <w:top w:w="65" w:type="dxa"/>
              <w:start w:w="65" w:type="dxa"/>
              <w:bottom w:w="65" w:type="dxa"/>
              <w:end w:w="65" w:type="dxa"/>
            </w:tcMar>
          </w:tcPr>
          <w:p>
            <w:pPr>
              <w:pStyle w:val="TableSmall"/>
            </w:pPr>
            <w:r>
              <w:rPr>
                <w:sz w:val="15"/>
              </w:rPr>
              <w:t>UTC en base ; UUID/ULID ; indexation pensée dès le schéma.</w:t>
            </w:r>
          </w:p>
        </w:tc>
      </w:tr>
      <w:tr>
        <w:tc>
          <w:tcPr>
            <w:tcW w:type="dxa" w:w="3475"/>
            <w:vAlign w:val="top"/>
            <w:tcMar>
              <w:top w:w="65" w:type="dxa"/>
              <w:start w:w="65" w:type="dxa"/>
              <w:bottom w:w="65" w:type="dxa"/>
              <w:end w:w="65" w:type="dxa"/>
            </w:tcMar>
          </w:tcPr>
          <w:p>
            <w:pPr>
              <w:pStyle w:val="TableSmall"/>
            </w:pPr>
            <w:r>
              <w:rPr>
                <w:sz w:val="15"/>
              </w:rPr>
              <w:t>Cache / jobs</w:t>
            </w:r>
          </w:p>
        </w:tc>
        <w:tc>
          <w:tcPr>
            <w:tcW w:type="dxa" w:w="3475"/>
            <w:vAlign w:val="top"/>
            <w:tcMar>
              <w:top w:w="65" w:type="dxa"/>
              <w:start w:w="65" w:type="dxa"/>
              <w:bottom w:w="65" w:type="dxa"/>
              <w:end w:w="65" w:type="dxa"/>
            </w:tcMar>
          </w:tcPr>
          <w:p>
            <w:pPr>
              <w:pStyle w:val="TableSmall"/>
            </w:pPr>
            <w:r>
              <w:rPr>
                <w:sz w:val="15"/>
              </w:rPr>
              <w:t>Redis + BullMQ (ou équivalent validé)</w:t>
            </w:r>
          </w:p>
        </w:tc>
        <w:tc>
          <w:tcPr>
            <w:tcW w:type="dxa" w:w="3475"/>
            <w:vAlign w:val="top"/>
            <w:tcMar>
              <w:top w:w="65" w:type="dxa"/>
              <w:start w:w="65" w:type="dxa"/>
              <w:bottom w:w="65" w:type="dxa"/>
              <w:end w:w="65" w:type="dxa"/>
            </w:tcMar>
          </w:tcPr>
          <w:p>
            <w:pPr>
              <w:pStyle w:val="TableSmall"/>
            </w:pPr>
            <w:r>
              <w:rPr>
                <w:sz w:val="15"/>
              </w:rPr>
              <w:t>Jobs idempotents, retry, dead-letter strategy.</w:t>
            </w:r>
          </w:p>
        </w:tc>
      </w:tr>
      <w:tr>
        <w:tc>
          <w:tcPr>
            <w:tcW w:type="dxa" w:w="3475"/>
            <w:vAlign w:val="top"/>
            <w:shd w:fill="F7F9FB"/>
            <w:tcMar>
              <w:top w:w="65" w:type="dxa"/>
              <w:start w:w="65" w:type="dxa"/>
              <w:bottom w:w="65" w:type="dxa"/>
              <w:end w:w="65" w:type="dxa"/>
            </w:tcMar>
          </w:tcPr>
          <w:p>
            <w:pPr>
              <w:pStyle w:val="TableSmall"/>
            </w:pPr>
            <w:r>
              <w:rPr>
                <w:sz w:val="15"/>
              </w:rPr>
              <w:t>Stockage</w:t>
            </w:r>
          </w:p>
        </w:tc>
        <w:tc>
          <w:tcPr>
            <w:tcW w:type="dxa" w:w="3475"/>
            <w:vAlign w:val="top"/>
            <w:shd w:fill="F7F9FB"/>
            <w:tcMar>
              <w:top w:w="65" w:type="dxa"/>
              <w:start w:w="65" w:type="dxa"/>
              <w:bottom w:w="65" w:type="dxa"/>
              <w:end w:w="65" w:type="dxa"/>
            </w:tcMar>
          </w:tcPr>
          <w:p>
            <w:pPr>
              <w:pStyle w:val="TableSmall"/>
            </w:pPr>
            <w:r>
              <w:rPr>
                <w:sz w:val="15"/>
              </w:rPr>
              <w:t>S3-compatible</w:t>
            </w:r>
          </w:p>
        </w:tc>
        <w:tc>
          <w:tcPr>
            <w:tcW w:type="dxa" w:w="3475"/>
            <w:vAlign w:val="top"/>
            <w:shd w:fill="F7F9FB"/>
            <w:tcMar>
              <w:top w:w="65" w:type="dxa"/>
              <w:start w:w="65" w:type="dxa"/>
              <w:bottom w:w="65" w:type="dxa"/>
              <w:end w:w="65" w:type="dxa"/>
            </w:tcMar>
          </w:tcPr>
          <w:p>
            <w:pPr>
              <w:pStyle w:val="TableSmall"/>
            </w:pPr>
            <w:r>
              <w:rPr>
                <w:sz w:val="15"/>
              </w:rPr>
              <w:t>Buckets publics/privés séparés ; URL signées.</w:t>
            </w:r>
          </w:p>
        </w:tc>
      </w:tr>
      <w:tr>
        <w:tc>
          <w:tcPr>
            <w:tcW w:type="dxa" w:w="3475"/>
            <w:vAlign w:val="top"/>
            <w:tcMar>
              <w:top w:w="65" w:type="dxa"/>
              <w:start w:w="65" w:type="dxa"/>
              <w:bottom w:w="65" w:type="dxa"/>
              <w:end w:w="65" w:type="dxa"/>
            </w:tcMar>
          </w:tcPr>
          <w:p>
            <w:pPr>
              <w:pStyle w:val="TableSmall"/>
            </w:pPr>
            <w:r>
              <w:rPr>
                <w:sz w:val="15"/>
              </w:rPr>
              <w:t>Auth</w:t>
            </w:r>
          </w:p>
        </w:tc>
        <w:tc>
          <w:tcPr>
            <w:tcW w:type="dxa" w:w="3475"/>
            <w:vAlign w:val="top"/>
            <w:tcMar>
              <w:top w:w="65" w:type="dxa"/>
              <w:start w:w="65" w:type="dxa"/>
              <w:bottom w:w="65" w:type="dxa"/>
              <w:end w:w="65" w:type="dxa"/>
            </w:tcMar>
          </w:tcPr>
          <w:p>
            <w:pPr>
              <w:pStyle w:val="TableSmall"/>
            </w:pPr>
            <w:r>
              <w:rPr>
                <w:sz w:val="15"/>
              </w:rPr>
              <w:t>OIDC/OAuth2 via fournisseur d’identité</w:t>
            </w:r>
          </w:p>
        </w:tc>
        <w:tc>
          <w:tcPr>
            <w:tcW w:type="dxa" w:w="3475"/>
            <w:vAlign w:val="top"/>
            <w:tcMar>
              <w:top w:w="65" w:type="dxa"/>
              <w:start w:w="65" w:type="dxa"/>
              <w:bottom w:w="65" w:type="dxa"/>
              <w:end w:w="65" w:type="dxa"/>
            </w:tcMar>
          </w:tcPr>
          <w:p>
            <w:pPr>
              <w:pStyle w:val="TableSmall"/>
            </w:pPr>
            <w:r>
              <w:rPr>
                <w:sz w:val="15"/>
              </w:rPr>
              <w:t>MFA administrateurs ; apps = clients OIDC.</w:t>
            </w:r>
          </w:p>
        </w:tc>
      </w:tr>
      <w:tr>
        <w:tc>
          <w:tcPr>
            <w:tcW w:type="dxa" w:w="3475"/>
            <w:vAlign w:val="top"/>
            <w:shd w:fill="F7F9FB"/>
            <w:tcMar>
              <w:top w:w="65" w:type="dxa"/>
              <w:start w:w="65" w:type="dxa"/>
              <w:bottom w:w="65" w:type="dxa"/>
              <w:end w:w="65" w:type="dxa"/>
            </w:tcMar>
          </w:tcPr>
          <w:p>
            <w:pPr>
              <w:pStyle w:val="TableSmall"/>
            </w:pPr>
            <w:r>
              <w:rPr>
                <w:sz w:val="15"/>
              </w:rPr>
              <w:t>Validation</w:t>
            </w:r>
          </w:p>
        </w:tc>
        <w:tc>
          <w:tcPr>
            <w:tcW w:type="dxa" w:w="3475"/>
            <w:vAlign w:val="top"/>
            <w:shd w:fill="F7F9FB"/>
            <w:tcMar>
              <w:top w:w="65" w:type="dxa"/>
              <w:start w:w="65" w:type="dxa"/>
              <w:bottom w:w="65" w:type="dxa"/>
              <w:end w:w="65" w:type="dxa"/>
            </w:tcMar>
          </w:tcPr>
          <w:p>
            <w:pPr>
              <w:pStyle w:val="TableSmall"/>
            </w:pPr>
            <w:r>
              <w:rPr>
                <w:sz w:val="15"/>
              </w:rPr>
              <w:t>Zod</w:t>
            </w:r>
          </w:p>
        </w:tc>
        <w:tc>
          <w:tcPr>
            <w:tcW w:type="dxa" w:w="3475"/>
            <w:vAlign w:val="top"/>
            <w:shd w:fill="F7F9FB"/>
            <w:tcMar>
              <w:top w:w="65" w:type="dxa"/>
              <w:start w:w="65" w:type="dxa"/>
              <w:bottom w:w="65" w:type="dxa"/>
              <w:end w:w="65" w:type="dxa"/>
            </w:tcMar>
          </w:tcPr>
          <w:p>
            <w:pPr>
              <w:pStyle w:val="TableSmall"/>
            </w:pPr>
            <w:r>
              <w:rPr>
                <w:sz w:val="15"/>
              </w:rPr>
              <w:t>Contrats partagés client/API.</w:t>
            </w:r>
          </w:p>
        </w:tc>
      </w:tr>
      <w:tr>
        <w:tc>
          <w:tcPr>
            <w:tcW w:type="dxa" w:w="3475"/>
            <w:vAlign w:val="top"/>
            <w:tcMar>
              <w:top w:w="65" w:type="dxa"/>
              <w:start w:w="65" w:type="dxa"/>
              <w:bottom w:w="65" w:type="dxa"/>
              <w:end w:w="65" w:type="dxa"/>
            </w:tcMar>
          </w:tcPr>
          <w:p>
            <w:pPr>
              <w:pStyle w:val="TableSmall"/>
            </w:pPr>
            <w:r>
              <w:rPr>
                <w:sz w:val="15"/>
              </w:rPr>
              <w:t>Tests</w:t>
            </w:r>
          </w:p>
        </w:tc>
        <w:tc>
          <w:tcPr>
            <w:tcW w:type="dxa" w:w="3475"/>
            <w:vAlign w:val="top"/>
            <w:tcMar>
              <w:top w:w="65" w:type="dxa"/>
              <w:start w:w="65" w:type="dxa"/>
              <w:bottom w:w="65" w:type="dxa"/>
              <w:end w:w="65" w:type="dxa"/>
            </w:tcMar>
          </w:tcPr>
          <w:p>
            <w:pPr>
              <w:pStyle w:val="TableSmall"/>
            </w:pPr>
            <w:r>
              <w:rPr>
                <w:sz w:val="15"/>
              </w:rPr>
              <w:t>Vitest + Testing Library + Playwright</w:t>
            </w:r>
          </w:p>
        </w:tc>
        <w:tc>
          <w:tcPr>
            <w:tcW w:type="dxa" w:w="3475"/>
            <w:vAlign w:val="top"/>
            <w:tcMar>
              <w:top w:w="65" w:type="dxa"/>
              <w:start w:w="65" w:type="dxa"/>
              <w:bottom w:w="65" w:type="dxa"/>
              <w:end w:w="65" w:type="dxa"/>
            </w:tcMar>
          </w:tcPr>
          <w:p>
            <w:pPr>
              <w:pStyle w:val="TableSmall"/>
            </w:pPr>
            <w:r>
              <w:rPr>
                <w:sz w:val="15"/>
              </w:rPr>
              <w:t>Unitaires, intégration, E2E.</w:t>
            </w:r>
          </w:p>
        </w:tc>
      </w:tr>
      <w:tr>
        <w:tc>
          <w:tcPr>
            <w:tcW w:type="dxa" w:w="3475"/>
            <w:vAlign w:val="top"/>
            <w:shd w:fill="F7F9FB"/>
            <w:tcMar>
              <w:top w:w="65" w:type="dxa"/>
              <w:start w:w="65" w:type="dxa"/>
              <w:bottom w:w="65" w:type="dxa"/>
              <w:end w:w="65" w:type="dxa"/>
            </w:tcMar>
          </w:tcPr>
          <w:p>
            <w:pPr>
              <w:pStyle w:val="TableSmall"/>
            </w:pPr>
            <w:r>
              <w:rPr>
                <w:sz w:val="15"/>
              </w:rPr>
              <w:t>Observabilité</w:t>
            </w:r>
          </w:p>
        </w:tc>
        <w:tc>
          <w:tcPr>
            <w:tcW w:type="dxa" w:w="3475"/>
            <w:vAlign w:val="top"/>
            <w:shd w:fill="F7F9FB"/>
            <w:tcMar>
              <w:top w:w="65" w:type="dxa"/>
              <w:start w:w="65" w:type="dxa"/>
              <w:bottom w:w="65" w:type="dxa"/>
              <w:end w:w="65" w:type="dxa"/>
            </w:tcMar>
          </w:tcPr>
          <w:p>
            <w:pPr>
              <w:pStyle w:val="TableSmall"/>
            </w:pPr>
            <w:r>
              <w:rPr>
                <w:sz w:val="15"/>
              </w:rPr>
              <w:t>Logs JSON + OpenTelemetry/APM</w:t>
            </w:r>
          </w:p>
        </w:tc>
        <w:tc>
          <w:tcPr>
            <w:tcW w:type="dxa" w:w="3475"/>
            <w:vAlign w:val="top"/>
            <w:shd w:fill="F7F9FB"/>
            <w:tcMar>
              <w:top w:w="65" w:type="dxa"/>
              <w:start w:w="65" w:type="dxa"/>
              <w:bottom w:w="65" w:type="dxa"/>
              <w:end w:w="65" w:type="dxa"/>
            </w:tcMar>
          </w:tcPr>
          <w:p>
            <w:pPr>
              <w:pStyle w:val="TableSmall"/>
            </w:pPr>
            <w:r>
              <w:rPr>
                <w:sz w:val="15"/>
              </w:rPr>
              <w:t>Correlation ID de bout en bout.</w:t>
            </w:r>
          </w:p>
        </w:tc>
      </w:tr>
      <w:tr>
        <w:tc>
          <w:tcPr>
            <w:tcW w:type="dxa" w:w="3475"/>
            <w:vAlign w:val="top"/>
            <w:tcMar>
              <w:top w:w="65" w:type="dxa"/>
              <w:start w:w="65" w:type="dxa"/>
              <w:bottom w:w="65" w:type="dxa"/>
              <w:end w:w="65" w:type="dxa"/>
            </w:tcMar>
          </w:tcPr>
          <w:p>
            <w:pPr>
              <w:pStyle w:val="TableSmall"/>
            </w:pPr>
            <w:r>
              <w:rPr>
                <w:sz w:val="15"/>
              </w:rPr>
              <w:t>CI/CD</w:t>
            </w:r>
          </w:p>
        </w:tc>
        <w:tc>
          <w:tcPr>
            <w:tcW w:type="dxa" w:w="3475"/>
            <w:vAlign w:val="top"/>
            <w:tcMar>
              <w:top w:w="65" w:type="dxa"/>
              <w:start w:w="65" w:type="dxa"/>
              <w:bottom w:w="65" w:type="dxa"/>
              <w:end w:w="65" w:type="dxa"/>
            </w:tcMar>
          </w:tcPr>
          <w:p>
            <w:pPr>
              <w:pStyle w:val="TableSmall"/>
            </w:pPr>
            <w:r>
              <w:rPr>
                <w:sz w:val="15"/>
              </w:rPr>
              <w:t>Pipeline automatisé</w:t>
            </w:r>
          </w:p>
        </w:tc>
        <w:tc>
          <w:tcPr>
            <w:tcW w:type="dxa" w:w="3475"/>
            <w:vAlign w:val="top"/>
            <w:tcMar>
              <w:top w:w="65" w:type="dxa"/>
              <w:start w:w="65" w:type="dxa"/>
              <w:bottom w:w="65" w:type="dxa"/>
              <w:end w:w="65" w:type="dxa"/>
            </w:tcMar>
          </w:tcPr>
          <w:p>
            <w:pPr>
              <w:pStyle w:val="TableSmall"/>
            </w:pPr>
            <w:r>
              <w:rPr>
                <w:sz w:val="15"/>
              </w:rPr>
              <w:t>Lint, types, tests, build, scan, migration, déploiement.</w:t>
            </w:r>
          </w:p>
        </w:tc>
      </w:tr>
    </w:tbl>
    <w:p>
      <w:pPr>
        <w:spacing w:after="20"/>
      </w:pPr>
    </w:p>
    <w:p>
      <w:pPr>
        <w:pStyle w:val="Heading1"/>
      </w:pPr>
      <w:r>
        <w:t>9. Exigences fonctionnelles - site vitrine</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2606"/>
            <w:shd w:fill="0B66B2"/>
            <w:vAlign w:val="center"/>
            <w:tcMar>
              <w:top w:w="70" w:type="dxa"/>
              <w:start w:w="70" w:type="dxa"/>
              <w:bottom w:w="70" w:type="dxa"/>
              <w:end w:w="70" w:type="dxa"/>
            </w:tcMar>
          </w:tcPr>
          <w:p>
            <w:pPr>
              <w:pStyle w:val="TableSmall"/>
            </w:pPr>
            <w:r>
              <w:rPr>
                <w:b/>
                <w:color w:val="FFFFFF"/>
                <w:sz w:val="15"/>
              </w:rPr>
              <w:t>ID</w:t>
            </w:r>
          </w:p>
        </w:tc>
        <w:tc>
          <w:tcPr>
            <w:tcW w:type="dxa" w:w="2606"/>
            <w:shd w:fill="0B66B2"/>
            <w:vAlign w:val="center"/>
            <w:tcMar>
              <w:top w:w="70" w:type="dxa"/>
              <w:start w:w="70" w:type="dxa"/>
              <w:bottom w:w="70" w:type="dxa"/>
              <w:end w:w="70" w:type="dxa"/>
            </w:tcMar>
          </w:tcPr>
          <w:p>
            <w:pPr>
              <w:pStyle w:val="TableSmall"/>
            </w:pPr>
            <w:r>
              <w:rPr>
                <w:b/>
                <w:color w:val="FFFFFF"/>
                <w:sz w:val="15"/>
              </w:rPr>
              <w:t>Priorité</w:t>
            </w:r>
          </w:p>
        </w:tc>
        <w:tc>
          <w:tcPr>
            <w:tcW w:type="dxa" w:w="2606"/>
            <w:shd w:fill="0B66B2"/>
            <w:vAlign w:val="center"/>
            <w:tcMar>
              <w:top w:w="70" w:type="dxa"/>
              <w:start w:w="70" w:type="dxa"/>
              <w:bottom w:w="70" w:type="dxa"/>
              <w:end w:w="70" w:type="dxa"/>
            </w:tcMar>
          </w:tcPr>
          <w:p>
            <w:pPr>
              <w:pStyle w:val="TableSmall"/>
            </w:pPr>
            <w:r>
              <w:rPr>
                <w:b/>
                <w:color w:val="FFFFFF"/>
                <w:sz w:val="15"/>
              </w:rPr>
              <w:t>Exigence</w:t>
            </w:r>
          </w:p>
        </w:tc>
        <w:tc>
          <w:tcPr>
            <w:tcW w:type="dxa" w:w="2606"/>
            <w:shd w:fill="0B66B2"/>
            <w:vAlign w:val="center"/>
            <w:tcMar>
              <w:top w:w="70" w:type="dxa"/>
              <w:start w:w="70" w:type="dxa"/>
              <w:bottom w:w="70" w:type="dxa"/>
              <w:end w:w="70" w:type="dxa"/>
            </w:tcMar>
          </w:tcPr>
          <w:p>
            <w:pPr>
              <w:pStyle w:val="TableSmall"/>
            </w:pPr>
            <w:r>
              <w:rPr>
                <w:b/>
                <w:color w:val="FFFFFF"/>
                <w:sz w:val="15"/>
              </w:rPr>
              <w:t>Critère de recette</w:t>
            </w:r>
          </w:p>
        </w:tc>
      </w:tr>
      <w:tr>
        <w:tc>
          <w:tcPr>
            <w:tcW w:type="dxa" w:w="2606"/>
            <w:vAlign w:val="top"/>
            <w:tcMar>
              <w:top w:w="65" w:type="dxa"/>
              <w:start w:w="65" w:type="dxa"/>
              <w:bottom w:w="65" w:type="dxa"/>
              <w:end w:w="65" w:type="dxa"/>
            </w:tcMar>
          </w:tcPr>
          <w:p>
            <w:pPr>
              <w:pStyle w:val="TableSmall"/>
            </w:pPr>
            <w:r>
              <w:rPr>
                <w:sz w:val="15"/>
              </w:rPr>
              <w:t>WEB-01</w:t>
            </w:r>
          </w:p>
        </w:tc>
        <w:tc>
          <w:tcPr>
            <w:tcW w:type="dxa" w:w="2606"/>
            <w:vAlign w:val="top"/>
            <w:tcMar>
              <w:top w:w="65" w:type="dxa"/>
              <w:start w:w="65" w:type="dxa"/>
              <w:bottom w:w="65" w:type="dxa"/>
              <w:end w:w="65" w:type="dxa"/>
            </w:tcMar>
          </w:tcPr>
          <w:p>
            <w:pPr>
              <w:pStyle w:val="TableSmall"/>
            </w:pPr>
            <w:r>
              <w:rPr>
                <w:sz w:val="15"/>
              </w:rPr>
              <w:t>MUST</w:t>
            </w:r>
          </w:p>
        </w:tc>
        <w:tc>
          <w:tcPr>
            <w:tcW w:type="dxa" w:w="2606"/>
            <w:vAlign w:val="top"/>
            <w:tcMar>
              <w:top w:w="65" w:type="dxa"/>
              <w:start w:w="65" w:type="dxa"/>
              <w:bottom w:w="65" w:type="dxa"/>
              <w:end w:w="65" w:type="dxa"/>
            </w:tcMar>
          </w:tcPr>
          <w:p>
            <w:pPr>
              <w:pStyle w:val="TableSmall"/>
            </w:pPr>
            <w:r>
              <w:rPr>
                <w:sz w:val="15"/>
              </w:rPr>
              <w:t>Interface responsive mobile-first, navigation claire et CTA prioritaires visibles.</w:t>
            </w:r>
          </w:p>
        </w:tc>
        <w:tc>
          <w:tcPr>
            <w:tcW w:type="dxa" w:w="2606"/>
            <w:vAlign w:val="top"/>
            <w:tcMar>
              <w:top w:w="65" w:type="dxa"/>
              <w:start w:w="65" w:type="dxa"/>
              <w:bottom w:w="65" w:type="dxa"/>
              <w:end w:w="65" w:type="dxa"/>
            </w:tcMar>
          </w:tcPr>
          <w:p>
            <w:pPr>
              <w:pStyle w:val="TableSmall"/>
            </w:pPr>
            <w:r>
              <w:rPr>
                <w:sz w:val="15"/>
              </w:rPr>
              <w:t>Parcours critiques validés sur smartphones Android/iOS et navigateurs modernes.</w:t>
            </w:r>
          </w:p>
        </w:tc>
      </w:tr>
      <w:tr>
        <w:tc>
          <w:tcPr>
            <w:tcW w:type="dxa" w:w="2606"/>
            <w:vAlign w:val="top"/>
            <w:shd w:fill="F7F9FB"/>
            <w:tcMar>
              <w:top w:w="65" w:type="dxa"/>
              <w:start w:w="65" w:type="dxa"/>
              <w:bottom w:w="65" w:type="dxa"/>
              <w:end w:w="65" w:type="dxa"/>
            </w:tcMar>
          </w:tcPr>
          <w:p>
            <w:pPr>
              <w:pStyle w:val="TableSmall"/>
            </w:pPr>
            <w:r>
              <w:rPr>
                <w:sz w:val="15"/>
              </w:rPr>
              <w:t>WEB-02</w:t>
            </w:r>
          </w:p>
        </w:tc>
        <w:tc>
          <w:tcPr>
            <w:tcW w:type="dxa" w:w="2606"/>
            <w:vAlign w:val="top"/>
            <w:shd w:fill="F7F9FB"/>
            <w:tcMar>
              <w:top w:w="65" w:type="dxa"/>
              <w:start w:w="65" w:type="dxa"/>
              <w:bottom w:w="65" w:type="dxa"/>
              <w:end w:w="65" w:type="dxa"/>
            </w:tcMar>
          </w:tcPr>
          <w:p>
            <w:pPr>
              <w:pStyle w:val="TableSmall"/>
            </w:pPr>
            <w:r>
              <w:rPr>
                <w:sz w:val="15"/>
              </w:rPr>
              <w:t>MUST</w:t>
            </w:r>
          </w:p>
        </w:tc>
        <w:tc>
          <w:tcPr>
            <w:tcW w:type="dxa" w:w="2606"/>
            <w:vAlign w:val="top"/>
            <w:shd w:fill="F7F9FB"/>
            <w:tcMar>
              <w:top w:w="65" w:type="dxa"/>
              <w:start w:w="65" w:type="dxa"/>
              <w:bottom w:w="65" w:type="dxa"/>
              <w:end w:w="65" w:type="dxa"/>
            </w:tcMar>
          </w:tcPr>
          <w:p>
            <w:pPr>
              <w:pStyle w:val="TableSmall"/>
            </w:pPr>
            <w:r>
              <w:rPr>
                <w:sz w:val="15"/>
              </w:rPr>
              <w:t>CMS intégré administrable par la FETRAG : pages, actualités, médias, documents, menus, formulaires, SEO et comptes éditeurs.</w:t>
            </w:r>
          </w:p>
        </w:tc>
        <w:tc>
          <w:tcPr>
            <w:tcW w:type="dxa" w:w="2606"/>
            <w:vAlign w:val="top"/>
            <w:shd w:fill="F7F9FB"/>
            <w:tcMar>
              <w:top w:w="65" w:type="dxa"/>
              <w:start w:w="65" w:type="dxa"/>
              <w:bottom w:w="65" w:type="dxa"/>
              <w:end w:w="65" w:type="dxa"/>
            </w:tcMar>
          </w:tcPr>
          <w:p>
            <w:pPr>
              <w:pStyle w:val="TableSmall"/>
            </w:pPr>
            <w:r>
              <w:rPr>
                <w:sz w:val="15"/>
              </w:rPr>
              <w:t>Un éditeur non technique publie et modifie un contenu sans intervention développeur.</w:t>
            </w:r>
          </w:p>
        </w:tc>
      </w:tr>
      <w:tr>
        <w:tc>
          <w:tcPr>
            <w:tcW w:type="dxa" w:w="2606"/>
            <w:vAlign w:val="top"/>
            <w:tcMar>
              <w:top w:w="65" w:type="dxa"/>
              <w:start w:w="65" w:type="dxa"/>
              <w:bottom w:w="65" w:type="dxa"/>
              <w:end w:w="65" w:type="dxa"/>
            </w:tcMar>
          </w:tcPr>
          <w:p>
            <w:pPr>
              <w:pStyle w:val="TableSmall"/>
            </w:pPr>
            <w:r>
              <w:rPr>
                <w:sz w:val="15"/>
              </w:rPr>
              <w:t>WEB-03</w:t>
            </w:r>
          </w:p>
        </w:tc>
        <w:tc>
          <w:tcPr>
            <w:tcW w:type="dxa" w:w="2606"/>
            <w:vAlign w:val="top"/>
            <w:tcMar>
              <w:top w:w="65" w:type="dxa"/>
              <w:start w:w="65" w:type="dxa"/>
              <w:bottom w:w="65" w:type="dxa"/>
              <w:end w:w="65" w:type="dxa"/>
            </w:tcMar>
          </w:tcPr>
          <w:p>
            <w:pPr>
              <w:pStyle w:val="TableSmall"/>
            </w:pPr>
            <w:r>
              <w:rPr>
                <w:sz w:val="15"/>
              </w:rPr>
              <w:t>MUST</w:t>
            </w:r>
          </w:p>
        </w:tc>
        <w:tc>
          <w:tcPr>
            <w:tcW w:type="dxa" w:w="2606"/>
            <w:vAlign w:val="top"/>
            <w:tcMar>
              <w:top w:w="65" w:type="dxa"/>
              <w:start w:w="65" w:type="dxa"/>
              <w:bottom w:w="65" w:type="dxa"/>
              <w:end w:w="65" w:type="dxa"/>
            </w:tcMar>
          </w:tcPr>
          <w:p>
            <w:pPr>
              <w:pStyle w:val="TableSmall"/>
            </w:pPr>
            <w:r>
              <w:rPr>
                <w:sz w:val="15"/>
              </w:rPr>
              <w:t>Catalogue de services : fiches, conditions, tarifs éventuels, demande/inscription et suivi.</w:t>
            </w:r>
          </w:p>
        </w:tc>
        <w:tc>
          <w:tcPr>
            <w:tcW w:type="dxa" w:w="2606"/>
            <w:vAlign w:val="top"/>
            <w:tcMar>
              <w:top w:w="65" w:type="dxa"/>
              <w:start w:w="65" w:type="dxa"/>
              <w:bottom w:w="65" w:type="dxa"/>
              <w:end w:w="65" w:type="dxa"/>
            </w:tcMar>
          </w:tcPr>
          <w:p>
            <w:pPr>
              <w:pStyle w:val="TableSmall"/>
            </w:pPr>
            <w:r>
              <w:rPr>
                <w:sz w:val="15"/>
              </w:rPr>
              <w:t>Chaque service est administrable, activable/désactivable et traçable.</w:t>
            </w:r>
          </w:p>
        </w:tc>
      </w:tr>
      <w:tr>
        <w:tc>
          <w:tcPr>
            <w:tcW w:type="dxa" w:w="2606"/>
            <w:vAlign w:val="top"/>
            <w:shd w:fill="F7F9FB"/>
            <w:tcMar>
              <w:top w:w="65" w:type="dxa"/>
              <w:start w:w="65" w:type="dxa"/>
              <w:bottom w:w="65" w:type="dxa"/>
              <w:end w:w="65" w:type="dxa"/>
            </w:tcMar>
          </w:tcPr>
          <w:p>
            <w:pPr>
              <w:pStyle w:val="TableSmall"/>
            </w:pPr>
            <w:r>
              <w:rPr>
                <w:sz w:val="15"/>
              </w:rPr>
              <w:t>WEB-04</w:t>
            </w:r>
          </w:p>
        </w:tc>
        <w:tc>
          <w:tcPr>
            <w:tcW w:type="dxa" w:w="2606"/>
            <w:vAlign w:val="top"/>
            <w:shd w:fill="F7F9FB"/>
            <w:tcMar>
              <w:top w:w="65" w:type="dxa"/>
              <w:start w:w="65" w:type="dxa"/>
              <w:bottom w:w="65" w:type="dxa"/>
              <w:end w:w="65" w:type="dxa"/>
            </w:tcMar>
          </w:tcPr>
          <w:p>
            <w:pPr>
              <w:pStyle w:val="TableSmall"/>
            </w:pPr>
            <w:r>
              <w:rPr>
                <w:sz w:val="15"/>
              </w:rPr>
              <w:t>MUST</w:t>
            </w:r>
          </w:p>
        </w:tc>
        <w:tc>
          <w:tcPr>
            <w:tcW w:type="dxa" w:w="2606"/>
            <w:vAlign w:val="top"/>
            <w:shd w:fill="F7F9FB"/>
            <w:tcMar>
              <w:top w:w="65" w:type="dxa"/>
              <w:start w:w="65" w:type="dxa"/>
              <w:bottom w:w="65" w:type="dxa"/>
              <w:end w:w="65" w:type="dxa"/>
            </w:tcMar>
          </w:tcPr>
          <w:p>
            <w:pPr>
              <w:pStyle w:val="TableSmall"/>
            </w:pPr>
            <w:r>
              <w:rPr>
                <w:sz w:val="15"/>
              </w:rPr>
              <w:t>Catalogue public de formations alimenté par le LMS, sans double saisie.</w:t>
            </w:r>
          </w:p>
        </w:tc>
        <w:tc>
          <w:tcPr>
            <w:tcW w:type="dxa" w:w="2606"/>
            <w:vAlign w:val="top"/>
            <w:shd w:fill="F7F9FB"/>
            <w:tcMar>
              <w:top w:w="65" w:type="dxa"/>
              <w:start w:w="65" w:type="dxa"/>
              <w:bottom w:w="65" w:type="dxa"/>
              <w:end w:w="65" w:type="dxa"/>
            </w:tcMar>
          </w:tcPr>
          <w:p>
            <w:pPr>
              <w:pStyle w:val="TableSmall"/>
            </w:pPr>
            <w:r>
              <w:rPr>
                <w:sz w:val="15"/>
              </w:rPr>
              <w:t>Une formation publiée côté LMS apparaît côté vitrine selon son statut de publication.</w:t>
            </w:r>
          </w:p>
        </w:tc>
      </w:tr>
      <w:tr>
        <w:tc>
          <w:tcPr>
            <w:tcW w:type="dxa" w:w="2606"/>
            <w:vAlign w:val="top"/>
            <w:tcMar>
              <w:top w:w="65" w:type="dxa"/>
              <w:start w:w="65" w:type="dxa"/>
              <w:bottom w:w="65" w:type="dxa"/>
              <w:end w:w="65" w:type="dxa"/>
            </w:tcMar>
          </w:tcPr>
          <w:p>
            <w:pPr>
              <w:pStyle w:val="TableSmall"/>
            </w:pPr>
            <w:r>
              <w:rPr>
                <w:sz w:val="15"/>
              </w:rPr>
              <w:t>WEB-05</w:t>
            </w:r>
          </w:p>
        </w:tc>
        <w:tc>
          <w:tcPr>
            <w:tcW w:type="dxa" w:w="2606"/>
            <w:vAlign w:val="top"/>
            <w:tcMar>
              <w:top w:w="65" w:type="dxa"/>
              <w:start w:w="65" w:type="dxa"/>
              <w:bottom w:w="65" w:type="dxa"/>
              <w:end w:w="65" w:type="dxa"/>
            </w:tcMar>
          </w:tcPr>
          <w:p>
            <w:pPr>
              <w:pStyle w:val="TableSmall"/>
            </w:pPr>
            <w:r>
              <w:rPr>
                <w:sz w:val="15"/>
              </w:rPr>
              <w:t>MUST</w:t>
            </w:r>
          </w:p>
        </w:tc>
        <w:tc>
          <w:tcPr>
            <w:tcW w:type="dxa" w:w="2606"/>
            <w:vAlign w:val="top"/>
            <w:tcMar>
              <w:top w:w="65" w:type="dxa"/>
              <w:start w:w="65" w:type="dxa"/>
              <w:bottom w:w="65" w:type="dxa"/>
              <w:end w:w="65" w:type="dxa"/>
            </w:tcMar>
          </w:tcPr>
          <w:p>
            <w:pPr>
              <w:pStyle w:val="TableSmall"/>
            </w:pPr>
            <w:r>
              <w:rPr>
                <w:sz w:val="15"/>
              </w:rPr>
              <w:t>Compte utilisateur unique et SSO entre la vitrine et le LMS.</w:t>
            </w:r>
          </w:p>
        </w:tc>
        <w:tc>
          <w:tcPr>
            <w:tcW w:type="dxa" w:w="2606"/>
            <w:vAlign w:val="top"/>
            <w:tcMar>
              <w:top w:w="65" w:type="dxa"/>
              <w:start w:w="65" w:type="dxa"/>
              <w:bottom w:w="65" w:type="dxa"/>
              <w:end w:w="65" w:type="dxa"/>
            </w:tcMar>
          </w:tcPr>
          <w:p>
            <w:pPr>
              <w:pStyle w:val="TableSmall"/>
            </w:pPr>
            <w:r>
              <w:rPr>
                <w:sz w:val="15"/>
              </w:rPr>
              <w:t>Un utilisateur déjà authentifié ouvre le LMS sans ressaisir son mot de passe.</w:t>
            </w:r>
          </w:p>
        </w:tc>
      </w:tr>
      <w:tr>
        <w:tc>
          <w:tcPr>
            <w:tcW w:type="dxa" w:w="2606"/>
            <w:vAlign w:val="top"/>
            <w:shd w:fill="F7F9FB"/>
            <w:tcMar>
              <w:top w:w="65" w:type="dxa"/>
              <w:start w:w="65" w:type="dxa"/>
              <w:bottom w:w="65" w:type="dxa"/>
              <w:end w:w="65" w:type="dxa"/>
            </w:tcMar>
          </w:tcPr>
          <w:p>
            <w:pPr>
              <w:pStyle w:val="TableSmall"/>
            </w:pPr>
            <w:r>
              <w:rPr>
                <w:sz w:val="15"/>
              </w:rPr>
              <w:t>WEB-06</w:t>
            </w:r>
          </w:p>
        </w:tc>
        <w:tc>
          <w:tcPr>
            <w:tcW w:type="dxa" w:w="2606"/>
            <w:vAlign w:val="top"/>
            <w:shd w:fill="F7F9FB"/>
            <w:tcMar>
              <w:top w:w="65" w:type="dxa"/>
              <w:start w:w="65" w:type="dxa"/>
              <w:bottom w:w="65" w:type="dxa"/>
              <w:end w:w="65" w:type="dxa"/>
            </w:tcMar>
          </w:tcPr>
          <w:p>
            <w:pPr>
              <w:pStyle w:val="TableSmall"/>
            </w:pPr>
            <w:r>
              <w:rPr>
                <w:sz w:val="15"/>
              </w:rPr>
              <w:t>MUST</w:t>
            </w:r>
          </w:p>
        </w:tc>
        <w:tc>
          <w:tcPr>
            <w:tcW w:type="dxa" w:w="2606"/>
            <w:vAlign w:val="top"/>
            <w:shd w:fill="F7F9FB"/>
            <w:tcMar>
              <w:top w:w="65" w:type="dxa"/>
              <w:start w:w="65" w:type="dxa"/>
              <w:bottom w:w="65" w:type="dxa"/>
              <w:end w:w="65" w:type="dxa"/>
            </w:tcMar>
          </w:tcPr>
          <w:p>
            <w:pPr>
              <w:pStyle w:val="TableSmall"/>
            </w:pPr>
            <w:r>
              <w:rPr>
                <w:sz w:val="15"/>
              </w:rPr>
              <w:t>Formulaires configurables : contact, assistance, demande de service, adhésion/intérêt, partenariat.</w:t>
            </w:r>
          </w:p>
        </w:tc>
        <w:tc>
          <w:tcPr>
            <w:tcW w:type="dxa" w:w="2606"/>
            <w:vAlign w:val="top"/>
            <w:shd w:fill="F7F9FB"/>
            <w:tcMar>
              <w:top w:w="65" w:type="dxa"/>
              <w:start w:w="65" w:type="dxa"/>
              <w:bottom w:w="65" w:type="dxa"/>
              <w:end w:w="65" w:type="dxa"/>
            </w:tcMar>
          </w:tcPr>
          <w:p>
            <w:pPr>
              <w:pStyle w:val="TableSmall"/>
            </w:pPr>
            <w:r>
              <w:rPr>
                <w:sz w:val="15"/>
              </w:rPr>
              <w:t>Accusé de réception, routage interne, statut et export disponibles.</w:t>
            </w:r>
          </w:p>
        </w:tc>
      </w:tr>
      <w:tr>
        <w:tc>
          <w:tcPr>
            <w:tcW w:type="dxa" w:w="2606"/>
            <w:vAlign w:val="top"/>
            <w:tcMar>
              <w:top w:w="65" w:type="dxa"/>
              <w:start w:w="65" w:type="dxa"/>
              <w:bottom w:w="65" w:type="dxa"/>
              <w:end w:w="65" w:type="dxa"/>
            </w:tcMar>
          </w:tcPr>
          <w:p>
            <w:pPr>
              <w:pStyle w:val="TableSmall"/>
            </w:pPr>
            <w:r>
              <w:rPr>
                <w:sz w:val="15"/>
              </w:rPr>
              <w:t>WEB-07</w:t>
            </w:r>
          </w:p>
        </w:tc>
        <w:tc>
          <w:tcPr>
            <w:tcW w:type="dxa" w:w="2606"/>
            <w:vAlign w:val="top"/>
            <w:tcMar>
              <w:top w:w="65" w:type="dxa"/>
              <w:start w:w="65" w:type="dxa"/>
              <w:bottom w:w="65" w:type="dxa"/>
              <w:end w:w="65" w:type="dxa"/>
            </w:tcMar>
          </w:tcPr>
          <w:p>
            <w:pPr>
              <w:pStyle w:val="TableSmall"/>
            </w:pPr>
            <w:r>
              <w:rPr>
                <w:sz w:val="15"/>
              </w:rPr>
              <w:t>SHOULD</w:t>
            </w:r>
          </w:p>
        </w:tc>
        <w:tc>
          <w:tcPr>
            <w:tcW w:type="dxa" w:w="2606"/>
            <w:vAlign w:val="top"/>
            <w:tcMar>
              <w:top w:w="65" w:type="dxa"/>
              <w:start w:w="65" w:type="dxa"/>
              <w:bottom w:w="65" w:type="dxa"/>
              <w:end w:w="65" w:type="dxa"/>
            </w:tcMar>
          </w:tcPr>
          <w:p>
            <w:pPr>
              <w:pStyle w:val="TableSmall"/>
            </w:pPr>
            <w:r>
              <w:rPr>
                <w:sz w:val="15"/>
              </w:rPr>
              <w:t>Recherche sur pages, actualités, ressources, services et formations publiques.</w:t>
            </w:r>
          </w:p>
        </w:tc>
        <w:tc>
          <w:tcPr>
            <w:tcW w:type="dxa" w:w="2606"/>
            <w:vAlign w:val="top"/>
            <w:tcMar>
              <w:top w:w="65" w:type="dxa"/>
              <w:start w:w="65" w:type="dxa"/>
              <w:bottom w:w="65" w:type="dxa"/>
              <w:end w:w="65" w:type="dxa"/>
            </w:tcMar>
          </w:tcPr>
          <w:p>
            <w:pPr>
              <w:pStyle w:val="TableSmall"/>
            </w:pPr>
            <w:r>
              <w:rPr>
                <w:sz w:val="15"/>
              </w:rPr>
              <w:t>Recherche tolérante avec filtres de base.</w:t>
            </w:r>
          </w:p>
        </w:tc>
      </w:tr>
      <w:tr>
        <w:tc>
          <w:tcPr>
            <w:tcW w:type="dxa" w:w="2606"/>
            <w:vAlign w:val="top"/>
            <w:shd w:fill="F7F9FB"/>
            <w:tcMar>
              <w:top w:w="65" w:type="dxa"/>
              <w:start w:w="65" w:type="dxa"/>
              <w:bottom w:w="65" w:type="dxa"/>
              <w:end w:w="65" w:type="dxa"/>
            </w:tcMar>
          </w:tcPr>
          <w:p>
            <w:pPr>
              <w:pStyle w:val="TableSmall"/>
            </w:pPr>
            <w:r>
              <w:rPr>
                <w:sz w:val="15"/>
              </w:rPr>
              <w:t>WEB-08</w:t>
            </w:r>
          </w:p>
        </w:tc>
        <w:tc>
          <w:tcPr>
            <w:tcW w:type="dxa" w:w="2606"/>
            <w:vAlign w:val="top"/>
            <w:shd w:fill="F7F9FB"/>
            <w:tcMar>
              <w:top w:w="65" w:type="dxa"/>
              <w:start w:w="65" w:type="dxa"/>
              <w:bottom w:w="65" w:type="dxa"/>
              <w:end w:w="65" w:type="dxa"/>
            </w:tcMar>
          </w:tcPr>
          <w:p>
            <w:pPr>
              <w:pStyle w:val="TableSmall"/>
            </w:pPr>
            <w:r>
              <w:rPr>
                <w:sz w:val="15"/>
              </w:rPr>
              <w:t>MUST</w:t>
            </w:r>
          </w:p>
        </w:tc>
        <w:tc>
          <w:tcPr>
            <w:tcW w:type="dxa" w:w="2606"/>
            <w:vAlign w:val="top"/>
            <w:shd w:fill="F7F9FB"/>
            <w:tcMar>
              <w:top w:w="65" w:type="dxa"/>
              <w:start w:w="65" w:type="dxa"/>
              <w:bottom w:w="65" w:type="dxa"/>
              <w:end w:w="65" w:type="dxa"/>
            </w:tcMar>
          </w:tcPr>
          <w:p>
            <w:pPr>
              <w:pStyle w:val="TableSmall"/>
            </w:pPr>
            <w:r>
              <w:rPr>
                <w:sz w:val="15"/>
              </w:rPr>
              <w:t>Paiement en ligne via couche d’adaptation PSP : mobile money, cartes et autres moyens retenus.</w:t>
            </w:r>
          </w:p>
        </w:tc>
        <w:tc>
          <w:tcPr>
            <w:tcW w:type="dxa" w:w="2606"/>
            <w:vAlign w:val="top"/>
            <w:shd w:fill="F7F9FB"/>
            <w:tcMar>
              <w:top w:w="65" w:type="dxa"/>
              <w:start w:w="65" w:type="dxa"/>
              <w:bottom w:w="65" w:type="dxa"/>
              <w:end w:w="65" w:type="dxa"/>
            </w:tcMar>
          </w:tcPr>
          <w:p>
            <w:pPr>
              <w:pStyle w:val="TableSmall"/>
            </w:pPr>
            <w:r>
              <w:rPr>
                <w:sz w:val="15"/>
              </w:rPr>
              <w:t>Paiement sandbox de bout en bout, statut, reçu et rapprochement démontrés.</w:t>
            </w:r>
          </w:p>
        </w:tc>
      </w:tr>
      <w:tr>
        <w:tc>
          <w:tcPr>
            <w:tcW w:type="dxa" w:w="2606"/>
            <w:vAlign w:val="top"/>
            <w:tcMar>
              <w:top w:w="65" w:type="dxa"/>
              <w:start w:w="65" w:type="dxa"/>
              <w:bottom w:w="65" w:type="dxa"/>
              <w:end w:w="65" w:type="dxa"/>
            </w:tcMar>
          </w:tcPr>
          <w:p>
            <w:pPr>
              <w:pStyle w:val="TableSmall"/>
            </w:pPr>
            <w:r>
              <w:rPr>
                <w:sz w:val="15"/>
              </w:rPr>
              <w:t>WEB-09</w:t>
            </w:r>
          </w:p>
        </w:tc>
        <w:tc>
          <w:tcPr>
            <w:tcW w:type="dxa" w:w="2606"/>
            <w:vAlign w:val="top"/>
            <w:tcMar>
              <w:top w:w="65" w:type="dxa"/>
              <w:start w:w="65" w:type="dxa"/>
              <w:bottom w:w="65" w:type="dxa"/>
              <w:end w:w="65" w:type="dxa"/>
            </w:tcMar>
          </w:tcPr>
          <w:p>
            <w:pPr>
              <w:pStyle w:val="TableSmall"/>
            </w:pPr>
            <w:r>
              <w:rPr>
                <w:sz w:val="15"/>
              </w:rPr>
              <w:t>SHOULD</w:t>
            </w:r>
          </w:p>
        </w:tc>
        <w:tc>
          <w:tcPr>
            <w:tcW w:type="dxa" w:w="2606"/>
            <w:vAlign w:val="top"/>
            <w:tcMar>
              <w:top w:w="65" w:type="dxa"/>
              <w:start w:w="65" w:type="dxa"/>
              <w:bottom w:w="65" w:type="dxa"/>
              <w:end w:w="65" w:type="dxa"/>
            </w:tcMar>
          </w:tcPr>
          <w:p>
            <w:pPr>
              <w:pStyle w:val="TableSmall"/>
            </w:pPr>
            <w:r>
              <w:rPr>
                <w:sz w:val="15"/>
              </w:rPr>
              <w:t>Offres gratuites ou payantes : formation, événement, ressource premium, service.</w:t>
            </w:r>
          </w:p>
        </w:tc>
        <w:tc>
          <w:tcPr>
            <w:tcW w:type="dxa" w:w="2606"/>
            <w:vAlign w:val="top"/>
            <w:tcMar>
              <w:top w:w="65" w:type="dxa"/>
              <w:start w:w="65" w:type="dxa"/>
              <w:bottom w:w="65" w:type="dxa"/>
              <w:end w:w="65" w:type="dxa"/>
            </w:tcMar>
          </w:tcPr>
          <w:p>
            <w:pPr>
              <w:pStyle w:val="TableSmall"/>
            </w:pPr>
            <w:r>
              <w:rPr>
                <w:sz w:val="15"/>
              </w:rPr>
              <w:t>Tarif, période, quota, coupon, gratuité et prise en charge configurables.</w:t>
            </w:r>
          </w:p>
        </w:tc>
      </w:tr>
      <w:tr>
        <w:tc>
          <w:tcPr>
            <w:tcW w:type="dxa" w:w="2606"/>
            <w:vAlign w:val="top"/>
            <w:shd w:fill="F7F9FB"/>
            <w:tcMar>
              <w:top w:w="65" w:type="dxa"/>
              <w:start w:w="65" w:type="dxa"/>
              <w:bottom w:w="65" w:type="dxa"/>
              <w:end w:w="65" w:type="dxa"/>
            </w:tcMar>
          </w:tcPr>
          <w:p>
            <w:pPr>
              <w:pStyle w:val="TableSmall"/>
            </w:pPr>
            <w:r>
              <w:rPr>
                <w:sz w:val="15"/>
              </w:rPr>
              <w:t>WEB-10</w:t>
            </w:r>
          </w:p>
        </w:tc>
        <w:tc>
          <w:tcPr>
            <w:tcW w:type="dxa" w:w="2606"/>
            <w:vAlign w:val="top"/>
            <w:shd w:fill="F7F9FB"/>
            <w:tcMar>
              <w:top w:w="65" w:type="dxa"/>
              <w:start w:w="65" w:type="dxa"/>
              <w:bottom w:w="65" w:type="dxa"/>
              <w:end w:w="65" w:type="dxa"/>
            </w:tcMar>
          </w:tcPr>
          <w:p>
            <w:pPr>
              <w:pStyle w:val="TableSmall"/>
            </w:pPr>
            <w:r>
              <w:rPr>
                <w:sz w:val="15"/>
              </w:rPr>
              <w:t>SHOULD</w:t>
            </w:r>
          </w:p>
        </w:tc>
        <w:tc>
          <w:tcPr>
            <w:tcW w:type="dxa" w:w="2606"/>
            <w:vAlign w:val="top"/>
            <w:shd w:fill="F7F9FB"/>
            <w:tcMar>
              <w:top w:w="65" w:type="dxa"/>
              <w:start w:w="65" w:type="dxa"/>
              <w:bottom w:w="65" w:type="dxa"/>
              <w:end w:w="65" w:type="dxa"/>
            </w:tcMar>
          </w:tcPr>
          <w:p>
            <w:pPr>
              <w:pStyle w:val="TableSmall"/>
            </w:pPr>
            <w:r>
              <w:rPr>
                <w:sz w:val="15"/>
              </w:rPr>
              <w:t>Espace personnel : profil, demandes, inscriptions, paiements/reçus, notifications, accès LMS.</w:t>
            </w:r>
          </w:p>
        </w:tc>
        <w:tc>
          <w:tcPr>
            <w:tcW w:type="dxa" w:w="2606"/>
            <w:vAlign w:val="top"/>
            <w:shd w:fill="F7F9FB"/>
            <w:tcMar>
              <w:top w:w="65" w:type="dxa"/>
              <w:start w:w="65" w:type="dxa"/>
              <w:bottom w:w="65" w:type="dxa"/>
              <w:end w:w="65" w:type="dxa"/>
            </w:tcMar>
          </w:tcPr>
          <w:p>
            <w:pPr>
              <w:pStyle w:val="TableSmall"/>
            </w:pPr>
            <w:r>
              <w:rPr>
                <w:sz w:val="15"/>
              </w:rPr>
              <w:t>Historique consolidé par utilisateur.</w:t>
            </w:r>
          </w:p>
        </w:tc>
      </w:tr>
      <w:tr>
        <w:tc>
          <w:tcPr>
            <w:tcW w:type="dxa" w:w="2606"/>
            <w:vAlign w:val="top"/>
            <w:tcMar>
              <w:top w:w="65" w:type="dxa"/>
              <w:start w:w="65" w:type="dxa"/>
              <w:bottom w:w="65" w:type="dxa"/>
              <w:end w:w="65" w:type="dxa"/>
            </w:tcMar>
          </w:tcPr>
          <w:p>
            <w:pPr>
              <w:pStyle w:val="TableSmall"/>
            </w:pPr>
            <w:r>
              <w:rPr>
                <w:sz w:val="15"/>
              </w:rPr>
              <w:t>WEB-11</w:t>
            </w:r>
          </w:p>
        </w:tc>
        <w:tc>
          <w:tcPr>
            <w:tcW w:type="dxa" w:w="2606"/>
            <w:vAlign w:val="top"/>
            <w:tcMar>
              <w:top w:w="65" w:type="dxa"/>
              <w:start w:w="65" w:type="dxa"/>
              <w:bottom w:w="65" w:type="dxa"/>
              <w:end w:w="65" w:type="dxa"/>
            </w:tcMar>
          </w:tcPr>
          <w:p>
            <w:pPr>
              <w:pStyle w:val="TableSmall"/>
            </w:pPr>
            <w:r>
              <w:rPr>
                <w:sz w:val="15"/>
              </w:rPr>
              <w:t>SHOULD</w:t>
            </w:r>
          </w:p>
        </w:tc>
        <w:tc>
          <w:tcPr>
            <w:tcW w:type="dxa" w:w="2606"/>
            <w:vAlign w:val="top"/>
            <w:tcMar>
              <w:top w:w="65" w:type="dxa"/>
              <w:start w:w="65" w:type="dxa"/>
              <w:bottom w:w="65" w:type="dxa"/>
              <w:end w:w="65" w:type="dxa"/>
            </w:tcMar>
          </w:tcPr>
          <w:p>
            <w:pPr>
              <w:pStyle w:val="TableSmall"/>
            </w:pPr>
            <w:r>
              <w:rPr>
                <w:sz w:val="15"/>
              </w:rPr>
              <w:t>Agenda/événements : inscription, jauge, liste d’attente, calendrier.</w:t>
            </w:r>
          </w:p>
        </w:tc>
        <w:tc>
          <w:tcPr>
            <w:tcW w:type="dxa" w:w="2606"/>
            <w:vAlign w:val="top"/>
            <w:tcMar>
              <w:top w:w="65" w:type="dxa"/>
              <w:start w:w="65" w:type="dxa"/>
              <w:bottom w:w="65" w:type="dxa"/>
              <w:end w:w="65" w:type="dxa"/>
            </w:tcMar>
          </w:tcPr>
          <w:p>
            <w:pPr>
              <w:pStyle w:val="TableSmall"/>
            </w:pPr>
            <w:r>
              <w:rPr>
                <w:sz w:val="15"/>
              </w:rPr>
              <w:t>Confirmation envoyée et liste de participants exportable.</w:t>
            </w:r>
          </w:p>
        </w:tc>
      </w:tr>
      <w:tr>
        <w:tc>
          <w:tcPr>
            <w:tcW w:type="dxa" w:w="2606"/>
            <w:vAlign w:val="top"/>
            <w:shd w:fill="F7F9FB"/>
            <w:tcMar>
              <w:top w:w="65" w:type="dxa"/>
              <w:start w:w="65" w:type="dxa"/>
              <w:bottom w:w="65" w:type="dxa"/>
              <w:end w:w="65" w:type="dxa"/>
            </w:tcMar>
          </w:tcPr>
          <w:p>
            <w:pPr>
              <w:pStyle w:val="TableSmall"/>
            </w:pPr>
            <w:r>
              <w:rPr>
                <w:sz w:val="15"/>
              </w:rPr>
              <w:t>WEB-12</w:t>
            </w:r>
          </w:p>
        </w:tc>
        <w:tc>
          <w:tcPr>
            <w:tcW w:type="dxa" w:w="2606"/>
            <w:vAlign w:val="top"/>
            <w:shd w:fill="F7F9FB"/>
            <w:tcMar>
              <w:top w:w="65" w:type="dxa"/>
              <w:start w:w="65" w:type="dxa"/>
              <w:bottom w:w="65" w:type="dxa"/>
              <w:end w:w="65" w:type="dxa"/>
            </w:tcMar>
          </w:tcPr>
          <w:p>
            <w:pPr>
              <w:pStyle w:val="TableSmall"/>
            </w:pPr>
            <w:r>
              <w:rPr>
                <w:sz w:val="15"/>
              </w:rPr>
              <w:t>MUST</w:t>
            </w:r>
          </w:p>
        </w:tc>
        <w:tc>
          <w:tcPr>
            <w:tcW w:type="dxa" w:w="2606"/>
            <w:vAlign w:val="top"/>
            <w:shd w:fill="F7F9FB"/>
            <w:tcMar>
              <w:top w:w="65" w:type="dxa"/>
              <w:start w:w="65" w:type="dxa"/>
              <w:bottom w:w="65" w:type="dxa"/>
              <w:end w:w="65" w:type="dxa"/>
            </w:tcMar>
          </w:tcPr>
          <w:p>
            <w:pPr>
              <w:pStyle w:val="TableSmall"/>
            </w:pPr>
            <w:r>
              <w:rPr>
                <w:sz w:val="15"/>
              </w:rPr>
              <w:t>Bibliothèque documentaire avec catégories, métadonnées, aperçu, téléchargement et niveaux d’accès.</w:t>
            </w:r>
          </w:p>
        </w:tc>
        <w:tc>
          <w:tcPr>
            <w:tcW w:type="dxa" w:w="2606"/>
            <w:vAlign w:val="top"/>
            <w:shd w:fill="F7F9FB"/>
            <w:tcMar>
              <w:top w:w="65" w:type="dxa"/>
              <w:start w:w="65" w:type="dxa"/>
              <w:bottom w:w="65" w:type="dxa"/>
              <w:end w:w="65" w:type="dxa"/>
            </w:tcMar>
          </w:tcPr>
          <w:p>
            <w:pPr>
              <w:pStyle w:val="TableSmall"/>
            </w:pPr>
            <w:r>
              <w:rPr>
                <w:sz w:val="15"/>
              </w:rPr>
              <w:t>Document public, membre, organisation ou premium géré correctement.</w:t>
            </w:r>
          </w:p>
        </w:tc>
      </w:tr>
      <w:tr>
        <w:tc>
          <w:tcPr>
            <w:tcW w:type="dxa" w:w="2606"/>
            <w:vAlign w:val="top"/>
            <w:tcMar>
              <w:top w:w="65" w:type="dxa"/>
              <w:start w:w="65" w:type="dxa"/>
              <w:bottom w:w="65" w:type="dxa"/>
              <w:end w:w="65" w:type="dxa"/>
            </w:tcMar>
          </w:tcPr>
          <w:p>
            <w:pPr>
              <w:pStyle w:val="TableSmall"/>
            </w:pPr>
            <w:r>
              <w:rPr>
                <w:sz w:val="15"/>
              </w:rPr>
              <w:t>WEB-13</w:t>
            </w:r>
          </w:p>
        </w:tc>
        <w:tc>
          <w:tcPr>
            <w:tcW w:type="dxa" w:w="2606"/>
            <w:vAlign w:val="top"/>
            <w:tcMar>
              <w:top w:w="65" w:type="dxa"/>
              <w:start w:w="65" w:type="dxa"/>
              <w:bottom w:w="65" w:type="dxa"/>
              <w:end w:w="65" w:type="dxa"/>
            </w:tcMar>
          </w:tcPr>
          <w:p>
            <w:pPr>
              <w:pStyle w:val="TableSmall"/>
            </w:pPr>
            <w:r>
              <w:rPr>
                <w:sz w:val="15"/>
              </w:rPr>
              <w:t>SHOULD</w:t>
            </w:r>
          </w:p>
        </w:tc>
        <w:tc>
          <w:tcPr>
            <w:tcW w:type="dxa" w:w="2606"/>
            <w:vAlign w:val="top"/>
            <w:tcMar>
              <w:top w:w="65" w:type="dxa"/>
              <w:start w:w="65" w:type="dxa"/>
              <w:bottom w:w="65" w:type="dxa"/>
              <w:end w:w="65" w:type="dxa"/>
            </w:tcMar>
          </w:tcPr>
          <w:p>
            <w:pPr>
              <w:pStyle w:val="TableSmall"/>
            </w:pPr>
            <w:r>
              <w:rPr>
                <w:sz w:val="15"/>
              </w:rPr>
              <w:t>Newsletter et notifications opt-in avec consentement et désinscription.</w:t>
            </w:r>
          </w:p>
        </w:tc>
        <w:tc>
          <w:tcPr>
            <w:tcW w:type="dxa" w:w="2606"/>
            <w:vAlign w:val="top"/>
            <w:tcMar>
              <w:top w:w="65" w:type="dxa"/>
              <w:start w:w="65" w:type="dxa"/>
              <w:bottom w:w="65" w:type="dxa"/>
              <w:end w:w="65" w:type="dxa"/>
            </w:tcMar>
          </w:tcPr>
          <w:p>
            <w:pPr>
              <w:pStyle w:val="TableSmall"/>
            </w:pPr>
            <w:r>
              <w:rPr>
                <w:sz w:val="15"/>
              </w:rPr>
              <w:t>Consentements traçables et exportables.</w:t>
            </w:r>
          </w:p>
        </w:tc>
      </w:tr>
      <w:tr>
        <w:tc>
          <w:tcPr>
            <w:tcW w:type="dxa" w:w="2606"/>
            <w:vAlign w:val="top"/>
            <w:shd w:fill="F7F9FB"/>
            <w:tcMar>
              <w:top w:w="65" w:type="dxa"/>
              <w:start w:w="65" w:type="dxa"/>
              <w:bottom w:w="65" w:type="dxa"/>
              <w:end w:w="65" w:type="dxa"/>
            </w:tcMar>
          </w:tcPr>
          <w:p>
            <w:pPr>
              <w:pStyle w:val="TableSmall"/>
            </w:pPr>
            <w:r>
              <w:rPr>
                <w:sz w:val="15"/>
              </w:rPr>
              <w:t>WEB-14</w:t>
            </w:r>
          </w:p>
        </w:tc>
        <w:tc>
          <w:tcPr>
            <w:tcW w:type="dxa" w:w="2606"/>
            <w:vAlign w:val="top"/>
            <w:shd w:fill="F7F9FB"/>
            <w:tcMar>
              <w:top w:w="65" w:type="dxa"/>
              <w:start w:w="65" w:type="dxa"/>
              <w:bottom w:w="65" w:type="dxa"/>
              <w:end w:w="65" w:type="dxa"/>
            </w:tcMar>
          </w:tcPr>
          <w:p>
            <w:pPr>
              <w:pStyle w:val="TableSmall"/>
            </w:pPr>
            <w:r>
              <w:rPr>
                <w:sz w:val="15"/>
              </w:rPr>
              <w:t>MUST</w:t>
            </w:r>
          </w:p>
        </w:tc>
        <w:tc>
          <w:tcPr>
            <w:tcW w:type="dxa" w:w="2606"/>
            <w:vAlign w:val="top"/>
            <w:shd w:fill="F7F9FB"/>
            <w:tcMar>
              <w:top w:w="65" w:type="dxa"/>
              <w:start w:w="65" w:type="dxa"/>
              <w:bottom w:w="65" w:type="dxa"/>
              <w:end w:w="65" w:type="dxa"/>
            </w:tcMar>
          </w:tcPr>
          <w:p>
            <w:pPr>
              <w:pStyle w:val="TableSmall"/>
            </w:pPr>
            <w:r>
              <w:rPr>
                <w:sz w:val="15"/>
              </w:rPr>
              <w:t>Internationalisation : français au lancement, structure prête pour anglais et autres langues.</w:t>
            </w:r>
          </w:p>
        </w:tc>
        <w:tc>
          <w:tcPr>
            <w:tcW w:type="dxa" w:w="2606"/>
            <w:vAlign w:val="top"/>
            <w:shd w:fill="F7F9FB"/>
            <w:tcMar>
              <w:top w:w="65" w:type="dxa"/>
              <w:start w:w="65" w:type="dxa"/>
              <w:bottom w:w="65" w:type="dxa"/>
              <w:end w:w="65" w:type="dxa"/>
            </w:tcMar>
          </w:tcPr>
          <w:p>
            <w:pPr>
              <w:pStyle w:val="TableSmall"/>
            </w:pPr>
            <w:r>
              <w:rPr>
                <w:sz w:val="15"/>
              </w:rPr>
              <w:t>Une langue supplémentaire peut être ajoutée sans refonte du modèle.</w:t>
            </w:r>
          </w:p>
        </w:tc>
      </w:tr>
      <w:tr>
        <w:tc>
          <w:tcPr>
            <w:tcW w:type="dxa" w:w="2606"/>
            <w:vAlign w:val="top"/>
            <w:tcMar>
              <w:top w:w="65" w:type="dxa"/>
              <w:start w:w="65" w:type="dxa"/>
              <w:bottom w:w="65" w:type="dxa"/>
              <w:end w:w="65" w:type="dxa"/>
            </w:tcMar>
          </w:tcPr>
          <w:p>
            <w:pPr>
              <w:pStyle w:val="TableSmall"/>
            </w:pPr>
            <w:r>
              <w:rPr>
                <w:sz w:val="15"/>
              </w:rPr>
              <w:t>WEB-15</w:t>
            </w:r>
          </w:p>
        </w:tc>
        <w:tc>
          <w:tcPr>
            <w:tcW w:type="dxa" w:w="2606"/>
            <w:vAlign w:val="top"/>
            <w:tcMar>
              <w:top w:w="65" w:type="dxa"/>
              <w:start w:w="65" w:type="dxa"/>
              <w:bottom w:w="65" w:type="dxa"/>
              <w:end w:w="65" w:type="dxa"/>
            </w:tcMar>
          </w:tcPr>
          <w:p>
            <w:pPr>
              <w:pStyle w:val="TableSmall"/>
            </w:pPr>
            <w:r>
              <w:rPr>
                <w:sz w:val="15"/>
              </w:rPr>
              <w:t>SHOULD</w:t>
            </w:r>
          </w:p>
        </w:tc>
        <w:tc>
          <w:tcPr>
            <w:tcW w:type="dxa" w:w="2606"/>
            <w:vAlign w:val="top"/>
            <w:tcMar>
              <w:top w:w="65" w:type="dxa"/>
              <w:start w:w="65" w:type="dxa"/>
              <w:bottom w:w="65" w:type="dxa"/>
              <w:end w:w="65" w:type="dxa"/>
            </w:tcMar>
          </w:tcPr>
          <w:p>
            <w:pPr>
              <w:pStyle w:val="TableSmall"/>
            </w:pPr>
            <w:r>
              <w:rPr>
                <w:sz w:val="15"/>
              </w:rPr>
              <w:t>Tableau de bord d’administration : trafic, demandes, ventes, conversions, contenus populaires.</w:t>
            </w:r>
          </w:p>
        </w:tc>
        <w:tc>
          <w:tcPr>
            <w:tcW w:type="dxa" w:w="2606"/>
            <w:vAlign w:val="top"/>
            <w:tcMar>
              <w:top w:w="65" w:type="dxa"/>
              <w:start w:w="65" w:type="dxa"/>
              <w:bottom w:w="65" w:type="dxa"/>
              <w:end w:w="65" w:type="dxa"/>
            </w:tcMar>
          </w:tcPr>
          <w:p>
            <w:pPr>
              <w:pStyle w:val="TableSmall"/>
            </w:pPr>
            <w:r>
              <w:rPr>
                <w:sz w:val="15"/>
              </w:rPr>
              <w:t>Indicateurs consultables et exportables.</w:t>
            </w:r>
          </w:p>
        </w:tc>
      </w:tr>
      <w:tr>
        <w:tc>
          <w:tcPr>
            <w:tcW w:type="dxa" w:w="2606"/>
            <w:vAlign w:val="top"/>
            <w:shd w:fill="F7F9FB"/>
            <w:tcMar>
              <w:top w:w="65" w:type="dxa"/>
              <w:start w:w="65" w:type="dxa"/>
              <w:bottom w:w="65" w:type="dxa"/>
              <w:end w:w="65" w:type="dxa"/>
            </w:tcMar>
          </w:tcPr>
          <w:p>
            <w:pPr>
              <w:pStyle w:val="TableSmall"/>
            </w:pPr>
            <w:r>
              <w:rPr>
                <w:sz w:val="15"/>
              </w:rPr>
              <w:t>WEB-16</w:t>
            </w:r>
          </w:p>
        </w:tc>
        <w:tc>
          <w:tcPr>
            <w:tcW w:type="dxa" w:w="2606"/>
            <w:vAlign w:val="top"/>
            <w:shd w:fill="F7F9FB"/>
            <w:tcMar>
              <w:top w:w="65" w:type="dxa"/>
              <w:start w:w="65" w:type="dxa"/>
              <w:bottom w:w="65" w:type="dxa"/>
              <w:end w:w="65" w:type="dxa"/>
            </w:tcMar>
          </w:tcPr>
          <w:p>
            <w:pPr>
              <w:pStyle w:val="TableSmall"/>
            </w:pPr>
            <w:r>
              <w:rPr>
                <w:sz w:val="15"/>
              </w:rPr>
              <w:t>COULD</w:t>
            </w:r>
          </w:p>
        </w:tc>
        <w:tc>
          <w:tcPr>
            <w:tcW w:type="dxa" w:w="2606"/>
            <w:vAlign w:val="top"/>
            <w:shd w:fill="F7F9FB"/>
            <w:tcMar>
              <w:top w:w="65" w:type="dxa"/>
              <w:start w:w="65" w:type="dxa"/>
              <w:bottom w:w="65" w:type="dxa"/>
              <w:end w:w="65" w:type="dxa"/>
            </w:tcMar>
          </w:tcPr>
          <w:p>
            <w:pPr>
              <w:pStyle w:val="TableSmall"/>
            </w:pPr>
            <w:r>
              <w:rPr>
                <w:sz w:val="15"/>
              </w:rPr>
              <w:t>Vérification publique de certificat LMS par code/QR.</w:t>
            </w:r>
          </w:p>
        </w:tc>
        <w:tc>
          <w:tcPr>
            <w:tcW w:type="dxa" w:w="2606"/>
            <w:vAlign w:val="top"/>
            <w:shd w:fill="F7F9FB"/>
            <w:tcMar>
              <w:top w:w="65" w:type="dxa"/>
              <w:start w:w="65" w:type="dxa"/>
              <w:bottom w:w="65" w:type="dxa"/>
              <w:end w:w="65" w:type="dxa"/>
            </w:tcMar>
          </w:tcPr>
          <w:p>
            <w:pPr>
              <w:pStyle w:val="TableSmall"/>
            </w:pPr>
            <w:r>
              <w:rPr>
                <w:sz w:val="15"/>
              </w:rPr>
              <w:t>Vérification sans exposition excessive de données personnelles.</w:t>
            </w:r>
          </w:p>
        </w:tc>
      </w:tr>
      <w:tr>
        <w:tc>
          <w:tcPr>
            <w:tcW w:type="dxa" w:w="2606"/>
            <w:vAlign w:val="top"/>
            <w:tcMar>
              <w:top w:w="65" w:type="dxa"/>
              <w:start w:w="65" w:type="dxa"/>
              <w:bottom w:w="65" w:type="dxa"/>
              <w:end w:w="65" w:type="dxa"/>
            </w:tcMar>
          </w:tcPr>
          <w:p>
            <w:pPr>
              <w:pStyle w:val="TableSmall"/>
            </w:pPr>
            <w:r>
              <w:rPr>
                <w:sz w:val="15"/>
              </w:rPr>
              <w:t>WEB-17</w:t>
            </w:r>
          </w:p>
        </w:tc>
        <w:tc>
          <w:tcPr>
            <w:tcW w:type="dxa" w:w="2606"/>
            <w:vAlign w:val="top"/>
            <w:tcMar>
              <w:top w:w="65" w:type="dxa"/>
              <w:start w:w="65" w:type="dxa"/>
              <w:bottom w:w="65" w:type="dxa"/>
              <w:end w:w="65" w:type="dxa"/>
            </w:tcMar>
          </w:tcPr>
          <w:p>
            <w:pPr>
              <w:pStyle w:val="TableSmall"/>
            </w:pPr>
            <w:r>
              <w:rPr>
                <w:sz w:val="15"/>
              </w:rPr>
              <w:t>MUST</w:t>
            </w:r>
          </w:p>
        </w:tc>
        <w:tc>
          <w:tcPr>
            <w:tcW w:type="dxa" w:w="2606"/>
            <w:vAlign w:val="top"/>
            <w:tcMar>
              <w:top w:w="65" w:type="dxa"/>
              <w:start w:w="65" w:type="dxa"/>
              <w:bottom w:w="65" w:type="dxa"/>
              <w:end w:w="65" w:type="dxa"/>
            </w:tcMar>
          </w:tcPr>
          <w:p>
            <w:pPr>
              <w:pStyle w:val="TableSmall"/>
            </w:pPr>
            <w:r>
              <w:rPr>
                <w:sz w:val="15"/>
              </w:rPr>
              <w:t>SEO technique : métadonnées, sitemap, robots, Open Graph, canonical, données structurées pertinentes.</w:t>
            </w:r>
          </w:p>
        </w:tc>
        <w:tc>
          <w:tcPr>
            <w:tcW w:type="dxa" w:w="2606"/>
            <w:vAlign w:val="top"/>
            <w:tcMar>
              <w:top w:w="65" w:type="dxa"/>
              <w:start w:w="65" w:type="dxa"/>
              <w:bottom w:w="65" w:type="dxa"/>
              <w:end w:w="65" w:type="dxa"/>
            </w:tcMar>
          </w:tcPr>
          <w:p>
            <w:pPr>
              <w:pStyle w:val="TableSmall"/>
            </w:pPr>
            <w:r>
              <w:rPr>
                <w:sz w:val="15"/>
              </w:rPr>
              <w:t>Audit SEO sans erreur bloquante sur pages publiques essentielles.</w:t>
            </w:r>
          </w:p>
        </w:tc>
      </w:tr>
      <w:tr>
        <w:tc>
          <w:tcPr>
            <w:tcW w:type="dxa" w:w="2606"/>
            <w:vAlign w:val="top"/>
            <w:shd w:fill="F7F9FB"/>
            <w:tcMar>
              <w:top w:w="65" w:type="dxa"/>
              <w:start w:w="65" w:type="dxa"/>
              <w:bottom w:w="65" w:type="dxa"/>
              <w:end w:w="65" w:type="dxa"/>
            </w:tcMar>
          </w:tcPr>
          <w:p>
            <w:pPr>
              <w:pStyle w:val="TableSmall"/>
            </w:pPr>
            <w:r>
              <w:rPr>
                <w:sz w:val="15"/>
              </w:rPr>
              <w:t>WEB-18</w:t>
            </w:r>
          </w:p>
        </w:tc>
        <w:tc>
          <w:tcPr>
            <w:tcW w:type="dxa" w:w="2606"/>
            <w:vAlign w:val="top"/>
            <w:shd w:fill="F7F9FB"/>
            <w:tcMar>
              <w:top w:w="65" w:type="dxa"/>
              <w:start w:w="65" w:type="dxa"/>
              <w:bottom w:w="65" w:type="dxa"/>
              <w:end w:w="65" w:type="dxa"/>
            </w:tcMar>
          </w:tcPr>
          <w:p>
            <w:pPr>
              <w:pStyle w:val="TableSmall"/>
            </w:pPr>
            <w:r>
              <w:rPr>
                <w:sz w:val="15"/>
              </w:rPr>
              <w:t>MUST</w:t>
            </w:r>
          </w:p>
        </w:tc>
        <w:tc>
          <w:tcPr>
            <w:tcW w:type="dxa" w:w="2606"/>
            <w:vAlign w:val="top"/>
            <w:shd w:fill="F7F9FB"/>
            <w:tcMar>
              <w:top w:w="65" w:type="dxa"/>
              <w:start w:w="65" w:type="dxa"/>
              <w:bottom w:w="65" w:type="dxa"/>
              <w:end w:w="65" w:type="dxa"/>
            </w:tcMar>
          </w:tcPr>
          <w:p>
            <w:pPr>
              <w:pStyle w:val="TableSmall"/>
            </w:pPr>
            <w:r>
              <w:rPr>
                <w:sz w:val="15"/>
              </w:rPr>
              <w:t>Gestion éditoriale par statuts : brouillon, relecture, publication, archivage et planification.</w:t>
            </w:r>
          </w:p>
        </w:tc>
        <w:tc>
          <w:tcPr>
            <w:tcW w:type="dxa" w:w="2606"/>
            <w:vAlign w:val="top"/>
            <w:shd w:fill="F7F9FB"/>
            <w:tcMar>
              <w:top w:w="65" w:type="dxa"/>
              <w:start w:w="65" w:type="dxa"/>
              <w:bottom w:w="65" w:type="dxa"/>
              <w:end w:w="65" w:type="dxa"/>
            </w:tcMar>
          </w:tcPr>
          <w:p>
            <w:pPr>
              <w:pStyle w:val="TableSmall"/>
            </w:pPr>
            <w:r>
              <w:rPr>
                <w:sz w:val="15"/>
              </w:rPr>
              <w:t>Les droits de publication respectent les rôles FETRAG.</w:t>
            </w:r>
          </w:p>
        </w:tc>
      </w:tr>
    </w:tbl>
    <w:p>
      <w:pPr>
        <w:spacing w:after="20"/>
      </w:pPr>
    </w:p>
    <w:p>
      <w:pPr>
        <w:pStyle w:val="Heading1"/>
      </w:pPr>
      <w:r>
        <w:t>10. Exigences fonctionnelles - LMS</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2606"/>
            <w:shd w:fill="0B66B2"/>
            <w:vAlign w:val="center"/>
            <w:tcMar>
              <w:top w:w="70" w:type="dxa"/>
              <w:start w:w="70" w:type="dxa"/>
              <w:bottom w:w="70" w:type="dxa"/>
              <w:end w:w="70" w:type="dxa"/>
            </w:tcMar>
          </w:tcPr>
          <w:p>
            <w:pPr>
              <w:pStyle w:val="TableSmall"/>
            </w:pPr>
            <w:r>
              <w:rPr>
                <w:b/>
                <w:color w:val="FFFFFF"/>
                <w:sz w:val="15"/>
              </w:rPr>
              <w:t>ID</w:t>
            </w:r>
          </w:p>
        </w:tc>
        <w:tc>
          <w:tcPr>
            <w:tcW w:type="dxa" w:w="2606"/>
            <w:shd w:fill="0B66B2"/>
            <w:vAlign w:val="center"/>
            <w:tcMar>
              <w:top w:w="70" w:type="dxa"/>
              <w:start w:w="70" w:type="dxa"/>
              <w:bottom w:w="70" w:type="dxa"/>
              <w:end w:w="70" w:type="dxa"/>
            </w:tcMar>
          </w:tcPr>
          <w:p>
            <w:pPr>
              <w:pStyle w:val="TableSmall"/>
            </w:pPr>
            <w:r>
              <w:rPr>
                <w:b/>
                <w:color w:val="FFFFFF"/>
                <w:sz w:val="15"/>
              </w:rPr>
              <w:t>Priorité</w:t>
            </w:r>
          </w:p>
        </w:tc>
        <w:tc>
          <w:tcPr>
            <w:tcW w:type="dxa" w:w="2606"/>
            <w:shd w:fill="0B66B2"/>
            <w:vAlign w:val="center"/>
            <w:tcMar>
              <w:top w:w="70" w:type="dxa"/>
              <w:start w:w="70" w:type="dxa"/>
              <w:bottom w:w="70" w:type="dxa"/>
              <w:end w:w="70" w:type="dxa"/>
            </w:tcMar>
          </w:tcPr>
          <w:p>
            <w:pPr>
              <w:pStyle w:val="TableSmall"/>
            </w:pPr>
            <w:r>
              <w:rPr>
                <w:b/>
                <w:color w:val="FFFFFF"/>
                <w:sz w:val="15"/>
              </w:rPr>
              <w:t>Exigence</w:t>
            </w:r>
          </w:p>
        </w:tc>
        <w:tc>
          <w:tcPr>
            <w:tcW w:type="dxa" w:w="2606"/>
            <w:shd w:fill="0B66B2"/>
            <w:vAlign w:val="center"/>
            <w:tcMar>
              <w:top w:w="70" w:type="dxa"/>
              <w:start w:w="70" w:type="dxa"/>
              <w:bottom w:w="70" w:type="dxa"/>
              <w:end w:w="70" w:type="dxa"/>
            </w:tcMar>
          </w:tcPr>
          <w:p>
            <w:pPr>
              <w:pStyle w:val="TableSmall"/>
            </w:pPr>
            <w:r>
              <w:rPr>
                <w:b/>
                <w:color w:val="FFFFFF"/>
                <w:sz w:val="15"/>
              </w:rPr>
              <w:t>Critère de recette</w:t>
            </w:r>
          </w:p>
        </w:tc>
      </w:tr>
      <w:tr>
        <w:tc>
          <w:tcPr>
            <w:tcW w:type="dxa" w:w="2606"/>
            <w:vAlign w:val="top"/>
            <w:tcMar>
              <w:top w:w="65" w:type="dxa"/>
              <w:start w:w="65" w:type="dxa"/>
              <w:bottom w:w="65" w:type="dxa"/>
              <w:end w:w="65" w:type="dxa"/>
            </w:tcMar>
          </w:tcPr>
          <w:p>
            <w:pPr>
              <w:pStyle w:val="TableSmall"/>
            </w:pPr>
            <w:r>
              <w:rPr>
                <w:sz w:val="15"/>
              </w:rPr>
              <w:t>LMS-01</w:t>
            </w:r>
          </w:p>
        </w:tc>
        <w:tc>
          <w:tcPr>
            <w:tcW w:type="dxa" w:w="2606"/>
            <w:vAlign w:val="top"/>
            <w:tcMar>
              <w:top w:w="65" w:type="dxa"/>
              <w:start w:w="65" w:type="dxa"/>
              <w:bottom w:w="65" w:type="dxa"/>
              <w:end w:w="65" w:type="dxa"/>
            </w:tcMar>
          </w:tcPr>
          <w:p>
            <w:pPr>
              <w:pStyle w:val="TableSmall"/>
            </w:pPr>
            <w:r>
              <w:rPr>
                <w:sz w:val="15"/>
              </w:rPr>
              <w:t>MUST</w:t>
            </w:r>
          </w:p>
        </w:tc>
        <w:tc>
          <w:tcPr>
            <w:tcW w:type="dxa" w:w="2606"/>
            <w:vAlign w:val="top"/>
            <w:tcMar>
              <w:top w:w="65" w:type="dxa"/>
              <w:start w:w="65" w:type="dxa"/>
              <w:bottom w:w="65" w:type="dxa"/>
              <w:end w:w="65" w:type="dxa"/>
            </w:tcMar>
          </w:tcPr>
          <w:p>
            <w:pPr>
              <w:pStyle w:val="TableSmall"/>
            </w:pPr>
            <w:r>
              <w:rPr>
                <w:sz w:val="15"/>
              </w:rPr>
              <w:t>Catalogue de formations : catégories, objectifs, prérequis, durée, modalités, langue, public, prix, sessions.</w:t>
            </w:r>
          </w:p>
        </w:tc>
        <w:tc>
          <w:tcPr>
            <w:tcW w:type="dxa" w:w="2606"/>
            <w:vAlign w:val="top"/>
            <w:tcMar>
              <w:top w:w="65" w:type="dxa"/>
              <w:start w:w="65" w:type="dxa"/>
              <w:bottom w:w="65" w:type="dxa"/>
              <w:end w:w="65" w:type="dxa"/>
            </w:tcMar>
          </w:tcPr>
          <w:p>
            <w:pPr>
              <w:pStyle w:val="TableSmall"/>
            </w:pPr>
            <w:r>
              <w:rPr>
                <w:sz w:val="15"/>
              </w:rPr>
              <w:t>Catalogue filtrable et administrable.</w:t>
            </w:r>
          </w:p>
        </w:tc>
      </w:tr>
      <w:tr>
        <w:tc>
          <w:tcPr>
            <w:tcW w:type="dxa" w:w="2606"/>
            <w:vAlign w:val="top"/>
            <w:shd w:fill="F7F9FB"/>
            <w:tcMar>
              <w:top w:w="65" w:type="dxa"/>
              <w:start w:w="65" w:type="dxa"/>
              <w:bottom w:w="65" w:type="dxa"/>
              <w:end w:w="65" w:type="dxa"/>
            </w:tcMar>
          </w:tcPr>
          <w:p>
            <w:pPr>
              <w:pStyle w:val="TableSmall"/>
            </w:pPr>
            <w:r>
              <w:rPr>
                <w:sz w:val="15"/>
              </w:rPr>
              <w:t>LMS-02</w:t>
            </w:r>
          </w:p>
        </w:tc>
        <w:tc>
          <w:tcPr>
            <w:tcW w:type="dxa" w:w="2606"/>
            <w:vAlign w:val="top"/>
            <w:shd w:fill="F7F9FB"/>
            <w:tcMar>
              <w:top w:w="65" w:type="dxa"/>
              <w:start w:w="65" w:type="dxa"/>
              <w:bottom w:w="65" w:type="dxa"/>
              <w:end w:w="65" w:type="dxa"/>
            </w:tcMar>
          </w:tcPr>
          <w:p>
            <w:pPr>
              <w:pStyle w:val="TableSmall"/>
            </w:pPr>
            <w:r>
              <w:rPr>
                <w:sz w:val="15"/>
              </w:rPr>
              <w:t>MUST</w:t>
            </w:r>
          </w:p>
        </w:tc>
        <w:tc>
          <w:tcPr>
            <w:tcW w:type="dxa" w:w="2606"/>
            <w:vAlign w:val="top"/>
            <w:shd w:fill="F7F9FB"/>
            <w:tcMar>
              <w:top w:w="65" w:type="dxa"/>
              <w:start w:w="65" w:type="dxa"/>
              <w:bottom w:w="65" w:type="dxa"/>
              <w:end w:w="65" w:type="dxa"/>
            </w:tcMar>
          </w:tcPr>
          <w:p>
            <w:pPr>
              <w:pStyle w:val="TableSmall"/>
            </w:pPr>
            <w:r>
              <w:rPr>
                <w:sz w:val="15"/>
              </w:rPr>
              <w:t>Cours asynchrones, synchrones et hybrides ; texte riche, vidéo, audio, PDF, présentations, liens, contenus interactifs.</w:t>
            </w:r>
          </w:p>
        </w:tc>
        <w:tc>
          <w:tcPr>
            <w:tcW w:type="dxa" w:w="2606"/>
            <w:vAlign w:val="top"/>
            <w:shd w:fill="F7F9FB"/>
            <w:tcMar>
              <w:top w:w="65" w:type="dxa"/>
              <w:start w:w="65" w:type="dxa"/>
              <w:bottom w:w="65" w:type="dxa"/>
              <w:end w:w="65" w:type="dxa"/>
            </w:tcMar>
          </w:tcPr>
          <w:p>
            <w:pPr>
              <w:pStyle w:val="TableSmall"/>
            </w:pPr>
            <w:r>
              <w:rPr>
                <w:sz w:val="15"/>
              </w:rPr>
              <w:t>Cours pilote avec au moins trois types de ressources et une séance synchrone.</w:t>
            </w:r>
          </w:p>
        </w:tc>
      </w:tr>
      <w:tr>
        <w:tc>
          <w:tcPr>
            <w:tcW w:type="dxa" w:w="2606"/>
            <w:vAlign w:val="top"/>
            <w:tcMar>
              <w:top w:w="65" w:type="dxa"/>
              <w:start w:w="65" w:type="dxa"/>
              <w:bottom w:w="65" w:type="dxa"/>
              <w:end w:w="65" w:type="dxa"/>
            </w:tcMar>
          </w:tcPr>
          <w:p>
            <w:pPr>
              <w:pStyle w:val="TableSmall"/>
            </w:pPr>
            <w:r>
              <w:rPr>
                <w:sz w:val="15"/>
              </w:rPr>
              <w:t>LMS-03</w:t>
            </w:r>
          </w:p>
        </w:tc>
        <w:tc>
          <w:tcPr>
            <w:tcW w:type="dxa" w:w="2606"/>
            <w:vAlign w:val="top"/>
            <w:tcMar>
              <w:top w:w="65" w:type="dxa"/>
              <w:start w:w="65" w:type="dxa"/>
              <w:bottom w:w="65" w:type="dxa"/>
              <w:end w:w="65" w:type="dxa"/>
            </w:tcMar>
          </w:tcPr>
          <w:p>
            <w:pPr>
              <w:pStyle w:val="TableSmall"/>
            </w:pPr>
            <w:r>
              <w:rPr>
                <w:sz w:val="15"/>
              </w:rPr>
              <w:t>MUST</w:t>
            </w:r>
          </w:p>
        </w:tc>
        <w:tc>
          <w:tcPr>
            <w:tcW w:type="dxa" w:w="2606"/>
            <w:vAlign w:val="top"/>
            <w:tcMar>
              <w:top w:w="65" w:type="dxa"/>
              <w:start w:w="65" w:type="dxa"/>
              <w:bottom w:w="65" w:type="dxa"/>
              <w:end w:w="65" w:type="dxa"/>
            </w:tcMar>
          </w:tcPr>
          <w:p>
            <w:pPr>
              <w:pStyle w:val="TableSmall"/>
            </w:pPr>
            <w:r>
              <w:rPr>
                <w:sz w:val="15"/>
              </w:rPr>
              <w:t>Évaluations : QCU, QCM, vrai/faux, trous, appariement, ordre, réponse courte, composition, devoir, sondage.</w:t>
            </w:r>
          </w:p>
        </w:tc>
        <w:tc>
          <w:tcPr>
            <w:tcW w:type="dxa" w:w="2606"/>
            <w:vAlign w:val="top"/>
            <w:tcMar>
              <w:top w:w="65" w:type="dxa"/>
              <w:start w:w="65" w:type="dxa"/>
              <w:bottom w:w="65" w:type="dxa"/>
              <w:end w:w="65" w:type="dxa"/>
            </w:tcMar>
          </w:tcPr>
          <w:p>
            <w:pPr>
              <w:pStyle w:val="TableSmall"/>
            </w:pPr>
            <w:r>
              <w:rPr>
                <w:sz w:val="15"/>
              </w:rPr>
              <w:t>Tentatives, scores, corrections, barèmes et règles de réussite conservés.</w:t>
            </w:r>
          </w:p>
        </w:tc>
      </w:tr>
      <w:tr>
        <w:tc>
          <w:tcPr>
            <w:tcW w:type="dxa" w:w="2606"/>
            <w:vAlign w:val="top"/>
            <w:shd w:fill="F7F9FB"/>
            <w:tcMar>
              <w:top w:w="65" w:type="dxa"/>
              <w:start w:w="65" w:type="dxa"/>
              <w:bottom w:w="65" w:type="dxa"/>
              <w:end w:w="65" w:type="dxa"/>
            </w:tcMar>
          </w:tcPr>
          <w:p>
            <w:pPr>
              <w:pStyle w:val="TableSmall"/>
            </w:pPr>
            <w:r>
              <w:rPr>
                <w:sz w:val="15"/>
              </w:rPr>
              <w:t>LMS-04</w:t>
            </w:r>
          </w:p>
        </w:tc>
        <w:tc>
          <w:tcPr>
            <w:tcW w:type="dxa" w:w="2606"/>
            <w:vAlign w:val="top"/>
            <w:shd w:fill="F7F9FB"/>
            <w:tcMar>
              <w:top w:w="65" w:type="dxa"/>
              <w:start w:w="65" w:type="dxa"/>
              <w:bottom w:w="65" w:type="dxa"/>
              <w:end w:w="65" w:type="dxa"/>
            </w:tcMar>
          </w:tcPr>
          <w:p>
            <w:pPr>
              <w:pStyle w:val="TableSmall"/>
            </w:pPr>
            <w:r>
              <w:rPr>
                <w:sz w:val="15"/>
              </w:rPr>
              <w:t>MUST</w:t>
            </w:r>
          </w:p>
        </w:tc>
        <w:tc>
          <w:tcPr>
            <w:tcW w:type="dxa" w:w="2606"/>
            <w:vAlign w:val="top"/>
            <w:shd w:fill="F7F9FB"/>
            <w:tcMar>
              <w:top w:w="65" w:type="dxa"/>
              <w:start w:w="65" w:type="dxa"/>
              <w:bottom w:w="65" w:type="dxa"/>
              <w:end w:w="65" w:type="dxa"/>
            </w:tcMar>
          </w:tcPr>
          <w:p>
            <w:pPr>
              <w:pStyle w:val="TableSmall"/>
            </w:pPr>
            <w:r>
              <w:rPr>
                <w:sz w:val="15"/>
              </w:rPr>
              <w:t>Cohortes, groupes, sessions, calendriers, quotas et inscriptions.</w:t>
            </w:r>
          </w:p>
        </w:tc>
        <w:tc>
          <w:tcPr>
            <w:tcW w:type="dxa" w:w="2606"/>
            <w:vAlign w:val="top"/>
            <w:shd w:fill="F7F9FB"/>
            <w:tcMar>
              <w:top w:w="65" w:type="dxa"/>
              <w:start w:w="65" w:type="dxa"/>
              <w:bottom w:w="65" w:type="dxa"/>
              <w:end w:w="65" w:type="dxa"/>
            </w:tcMar>
          </w:tcPr>
          <w:p>
            <w:pPr>
              <w:pStyle w:val="TableSmall"/>
            </w:pPr>
            <w:r>
              <w:rPr>
                <w:sz w:val="15"/>
              </w:rPr>
              <w:t>Une session peut être réservée à une organisation donnée.</w:t>
            </w:r>
          </w:p>
        </w:tc>
      </w:tr>
      <w:tr>
        <w:tc>
          <w:tcPr>
            <w:tcW w:type="dxa" w:w="2606"/>
            <w:vAlign w:val="top"/>
            <w:tcMar>
              <w:top w:w="65" w:type="dxa"/>
              <w:start w:w="65" w:type="dxa"/>
              <w:bottom w:w="65" w:type="dxa"/>
              <w:end w:w="65" w:type="dxa"/>
            </w:tcMar>
          </w:tcPr>
          <w:p>
            <w:pPr>
              <w:pStyle w:val="TableSmall"/>
            </w:pPr>
            <w:r>
              <w:rPr>
                <w:sz w:val="15"/>
              </w:rPr>
              <w:t>LMS-05</w:t>
            </w:r>
          </w:p>
        </w:tc>
        <w:tc>
          <w:tcPr>
            <w:tcW w:type="dxa" w:w="2606"/>
            <w:vAlign w:val="top"/>
            <w:tcMar>
              <w:top w:w="65" w:type="dxa"/>
              <w:start w:w="65" w:type="dxa"/>
              <w:bottom w:w="65" w:type="dxa"/>
              <w:end w:w="65" w:type="dxa"/>
            </w:tcMar>
          </w:tcPr>
          <w:p>
            <w:pPr>
              <w:pStyle w:val="TableSmall"/>
            </w:pPr>
            <w:r>
              <w:rPr>
                <w:sz w:val="15"/>
              </w:rPr>
              <w:t>MUST</w:t>
            </w:r>
          </w:p>
        </w:tc>
        <w:tc>
          <w:tcPr>
            <w:tcW w:type="dxa" w:w="2606"/>
            <w:vAlign w:val="top"/>
            <w:tcMar>
              <w:top w:w="65" w:type="dxa"/>
              <w:start w:w="65" w:type="dxa"/>
              <w:bottom w:w="65" w:type="dxa"/>
              <w:end w:w="65" w:type="dxa"/>
            </w:tcMar>
          </w:tcPr>
          <w:p>
            <w:pPr>
              <w:pStyle w:val="TableSmall"/>
            </w:pPr>
            <w:r>
              <w:rPr>
                <w:sz w:val="15"/>
              </w:rPr>
              <w:t>Workflow de demande de formation institutionnelle FETRAG.</w:t>
            </w:r>
          </w:p>
        </w:tc>
        <w:tc>
          <w:tcPr>
            <w:tcW w:type="dxa" w:w="2606"/>
            <w:vAlign w:val="top"/>
            <w:tcMar>
              <w:top w:w="65" w:type="dxa"/>
              <w:start w:w="65" w:type="dxa"/>
              <w:bottom w:w="65" w:type="dxa"/>
              <w:end w:w="65" w:type="dxa"/>
            </w:tcMar>
          </w:tcPr>
          <w:p>
            <w:pPr>
              <w:pStyle w:val="TableSmall"/>
            </w:pPr>
            <w:r>
              <w:rPr>
                <w:sz w:val="15"/>
              </w:rPr>
              <w:t>Demande, modules, participants, engagements, pièces, validation et historique gérés.</w:t>
            </w:r>
          </w:p>
        </w:tc>
      </w:tr>
      <w:tr>
        <w:tc>
          <w:tcPr>
            <w:tcW w:type="dxa" w:w="2606"/>
            <w:vAlign w:val="top"/>
            <w:shd w:fill="F7F9FB"/>
            <w:tcMar>
              <w:top w:w="65" w:type="dxa"/>
              <w:start w:w="65" w:type="dxa"/>
              <w:bottom w:w="65" w:type="dxa"/>
              <w:end w:w="65" w:type="dxa"/>
            </w:tcMar>
          </w:tcPr>
          <w:p>
            <w:pPr>
              <w:pStyle w:val="TableSmall"/>
            </w:pPr>
            <w:r>
              <w:rPr>
                <w:sz w:val="15"/>
              </w:rPr>
              <w:t>LMS-06</w:t>
            </w:r>
          </w:p>
        </w:tc>
        <w:tc>
          <w:tcPr>
            <w:tcW w:type="dxa" w:w="2606"/>
            <w:vAlign w:val="top"/>
            <w:shd w:fill="F7F9FB"/>
            <w:tcMar>
              <w:top w:w="65" w:type="dxa"/>
              <w:start w:w="65" w:type="dxa"/>
              <w:bottom w:w="65" w:type="dxa"/>
              <w:end w:w="65" w:type="dxa"/>
            </w:tcMar>
          </w:tcPr>
          <w:p>
            <w:pPr>
              <w:pStyle w:val="TableSmall"/>
            </w:pPr>
            <w:r>
              <w:rPr>
                <w:sz w:val="15"/>
              </w:rPr>
              <w:t>MUST</w:t>
            </w:r>
          </w:p>
        </w:tc>
        <w:tc>
          <w:tcPr>
            <w:tcW w:type="dxa" w:w="2606"/>
            <w:vAlign w:val="top"/>
            <w:shd w:fill="F7F9FB"/>
            <w:tcMar>
              <w:top w:w="65" w:type="dxa"/>
              <w:start w:w="65" w:type="dxa"/>
              <w:bottom w:w="65" w:type="dxa"/>
              <w:end w:w="65" w:type="dxa"/>
            </w:tcMar>
          </w:tcPr>
          <w:p>
            <w:pPr>
              <w:pStyle w:val="TableSmall"/>
            </w:pPr>
            <w:r>
              <w:rPr>
                <w:sz w:val="15"/>
              </w:rPr>
              <w:t>Présences et émargement pour présentiel/virtuel.</w:t>
            </w:r>
          </w:p>
        </w:tc>
        <w:tc>
          <w:tcPr>
            <w:tcW w:type="dxa" w:w="2606"/>
            <w:vAlign w:val="top"/>
            <w:shd w:fill="F7F9FB"/>
            <w:tcMar>
              <w:top w:w="65" w:type="dxa"/>
              <w:start w:w="65" w:type="dxa"/>
              <w:bottom w:w="65" w:type="dxa"/>
              <w:end w:w="65" w:type="dxa"/>
            </w:tcMar>
          </w:tcPr>
          <w:p>
            <w:pPr>
              <w:pStyle w:val="TableSmall"/>
            </w:pPr>
            <w:r>
              <w:rPr>
                <w:sz w:val="15"/>
              </w:rPr>
              <w:t>Présence visible dans le rapport de session.</w:t>
            </w:r>
          </w:p>
        </w:tc>
      </w:tr>
      <w:tr>
        <w:tc>
          <w:tcPr>
            <w:tcW w:type="dxa" w:w="2606"/>
            <w:vAlign w:val="top"/>
            <w:tcMar>
              <w:top w:w="65" w:type="dxa"/>
              <w:start w:w="65" w:type="dxa"/>
              <w:bottom w:w="65" w:type="dxa"/>
              <w:end w:w="65" w:type="dxa"/>
            </w:tcMar>
          </w:tcPr>
          <w:p>
            <w:pPr>
              <w:pStyle w:val="TableSmall"/>
            </w:pPr>
            <w:r>
              <w:rPr>
                <w:sz w:val="15"/>
              </w:rPr>
              <w:t>LMS-07</w:t>
            </w:r>
          </w:p>
        </w:tc>
        <w:tc>
          <w:tcPr>
            <w:tcW w:type="dxa" w:w="2606"/>
            <w:vAlign w:val="top"/>
            <w:tcMar>
              <w:top w:w="65" w:type="dxa"/>
              <w:start w:w="65" w:type="dxa"/>
              <w:bottom w:w="65" w:type="dxa"/>
              <w:end w:w="65" w:type="dxa"/>
            </w:tcMar>
          </w:tcPr>
          <w:p>
            <w:pPr>
              <w:pStyle w:val="TableSmall"/>
            </w:pPr>
            <w:r>
              <w:rPr>
                <w:sz w:val="15"/>
              </w:rPr>
              <w:t>MUST</w:t>
            </w:r>
          </w:p>
        </w:tc>
        <w:tc>
          <w:tcPr>
            <w:tcW w:type="dxa" w:w="2606"/>
            <w:vAlign w:val="top"/>
            <w:tcMar>
              <w:top w:w="65" w:type="dxa"/>
              <w:start w:w="65" w:type="dxa"/>
              <w:bottom w:w="65" w:type="dxa"/>
              <w:end w:w="65" w:type="dxa"/>
            </w:tcMar>
          </w:tcPr>
          <w:p>
            <w:pPr>
              <w:pStyle w:val="TableSmall"/>
            </w:pPr>
            <w:r>
              <w:rPr>
                <w:sz w:val="15"/>
              </w:rPr>
              <w:t>Certificats/attestations : numéro unique, QR, critères d’éligibilité, statut, révocation.</w:t>
            </w:r>
          </w:p>
        </w:tc>
        <w:tc>
          <w:tcPr>
            <w:tcW w:type="dxa" w:w="2606"/>
            <w:vAlign w:val="top"/>
            <w:tcMar>
              <w:top w:w="65" w:type="dxa"/>
              <w:start w:w="65" w:type="dxa"/>
              <w:bottom w:w="65" w:type="dxa"/>
              <w:end w:w="65" w:type="dxa"/>
            </w:tcMar>
          </w:tcPr>
          <w:p>
            <w:pPr>
              <w:pStyle w:val="TableSmall"/>
            </w:pPr>
            <w:r>
              <w:rPr>
                <w:sz w:val="15"/>
              </w:rPr>
              <w:t>Émission uniquement si les conditions configurées sont remplies.</w:t>
            </w:r>
          </w:p>
        </w:tc>
      </w:tr>
      <w:tr>
        <w:tc>
          <w:tcPr>
            <w:tcW w:type="dxa" w:w="2606"/>
            <w:vAlign w:val="top"/>
            <w:shd w:fill="F7F9FB"/>
            <w:tcMar>
              <w:top w:w="65" w:type="dxa"/>
              <w:start w:w="65" w:type="dxa"/>
              <w:bottom w:w="65" w:type="dxa"/>
              <w:end w:w="65" w:type="dxa"/>
            </w:tcMar>
          </w:tcPr>
          <w:p>
            <w:pPr>
              <w:pStyle w:val="TableSmall"/>
            </w:pPr>
            <w:r>
              <w:rPr>
                <w:sz w:val="15"/>
              </w:rPr>
              <w:t>LMS-08</w:t>
            </w:r>
          </w:p>
        </w:tc>
        <w:tc>
          <w:tcPr>
            <w:tcW w:type="dxa" w:w="2606"/>
            <w:vAlign w:val="top"/>
            <w:shd w:fill="F7F9FB"/>
            <w:tcMar>
              <w:top w:w="65" w:type="dxa"/>
              <w:start w:w="65" w:type="dxa"/>
              <w:bottom w:w="65" w:type="dxa"/>
              <w:end w:w="65" w:type="dxa"/>
            </w:tcMar>
          </w:tcPr>
          <w:p>
            <w:pPr>
              <w:pStyle w:val="TableSmall"/>
            </w:pPr>
            <w:r>
              <w:rPr>
                <w:sz w:val="15"/>
              </w:rPr>
              <w:t>MUST</w:t>
            </w:r>
          </w:p>
        </w:tc>
        <w:tc>
          <w:tcPr>
            <w:tcW w:type="dxa" w:w="2606"/>
            <w:vAlign w:val="top"/>
            <w:shd w:fill="F7F9FB"/>
            <w:tcMar>
              <w:top w:w="65" w:type="dxa"/>
              <w:start w:w="65" w:type="dxa"/>
              <w:bottom w:w="65" w:type="dxa"/>
              <w:end w:w="65" w:type="dxa"/>
            </w:tcMar>
          </w:tcPr>
          <w:p>
            <w:pPr>
              <w:pStyle w:val="TableSmall"/>
            </w:pPr>
            <w:r>
              <w:rPr>
                <w:sz w:val="15"/>
              </w:rPr>
              <w:t>Tableau de bord apprenant : progression, échéances, résultats, certificats, historique.</w:t>
            </w:r>
          </w:p>
        </w:tc>
        <w:tc>
          <w:tcPr>
            <w:tcW w:type="dxa" w:w="2606"/>
            <w:vAlign w:val="top"/>
            <w:shd w:fill="F7F9FB"/>
            <w:tcMar>
              <w:top w:w="65" w:type="dxa"/>
              <w:start w:w="65" w:type="dxa"/>
              <w:bottom w:w="65" w:type="dxa"/>
              <w:end w:w="65" w:type="dxa"/>
            </w:tcMar>
          </w:tcPr>
          <w:p>
            <w:pPr>
              <w:pStyle w:val="TableSmall"/>
            </w:pPr>
            <w:r>
              <w:rPr>
                <w:sz w:val="15"/>
              </w:rPr>
              <w:t>Compréhensible sur smartphone.</w:t>
            </w:r>
          </w:p>
        </w:tc>
      </w:tr>
      <w:tr>
        <w:tc>
          <w:tcPr>
            <w:tcW w:type="dxa" w:w="2606"/>
            <w:vAlign w:val="top"/>
            <w:tcMar>
              <w:top w:w="65" w:type="dxa"/>
              <w:start w:w="65" w:type="dxa"/>
              <w:bottom w:w="65" w:type="dxa"/>
              <w:end w:w="65" w:type="dxa"/>
            </w:tcMar>
          </w:tcPr>
          <w:p>
            <w:pPr>
              <w:pStyle w:val="TableSmall"/>
            </w:pPr>
            <w:r>
              <w:rPr>
                <w:sz w:val="15"/>
              </w:rPr>
              <w:t>LMS-09</w:t>
            </w:r>
          </w:p>
        </w:tc>
        <w:tc>
          <w:tcPr>
            <w:tcW w:type="dxa" w:w="2606"/>
            <w:vAlign w:val="top"/>
            <w:tcMar>
              <w:top w:w="65" w:type="dxa"/>
              <w:start w:w="65" w:type="dxa"/>
              <w:bottom w:w="65" w:type="dxa"/>
              <w:end w:w="65" w:type="dxa"/>
            </w:tcMar>
          </w:tcPr>
          <w:p>
            <w:pPr>
              <w:pStyle w:val="TableSmall"/>
            </w:pPr>
            <w:r>
              <w:rPr>
                <w:sz w:val="15"/>
              </w:rPr>
              <w:t>SHOULD</w:t>
            </w:r>
          </w:p>
        </w:tc>
        <w:tc>
          <w:tcPr>
            <w:tcW w:type="dxa" w:w="2606"/>
            <w:vAlign w:val="top"/>
            <w:tcMar>
              <w:top w:w="65" w:type="dxa"/>
              <w:start w:w="65" w:type="dxa"/>
              <w:bottom w:w="65" w:type="dxa"/>
              <w:end w:w="65" w:type="dxa"/>
            </w:tcMar>
          </w:tcPr>
          <w:p>
            <w:pPr>
              <w:pStyle w:val="TableSmall"/>
            </w:pPr>
            <w:r>
              <w:rPr>
                <w:sz w:val="15"/>
              </w:rPr>
              <w:t>Tableau de bord organisation : demandes, participants, progression agrégée, résultats et documents.</w:t>
            </w:r>
          </w:p>
        </w:tc>
        <w:tc>
          <w:tcPr>
            <w:tcW w:type="dxa" w:w="2606"/>
            <w:vAlign w:val="top"/>
            <w:tcMar>
              <w:top w:w="65" w:type="dxa"/>
              <w:start w:w="65" w:type="dxa"/>
              <w:bottom w:w="65" w:type="dxa"/>
              <w:end w:w="65" w:type="dxa"/>
            </w:tcMar>
          </w:tcPr>
          <w:p>
            <w:pPr>
              <w:pStyle w:val="TableSmall"/>
            </w:pPr>
            <w:r>
              <w:rPr>
                <w:sz w:val="15"/>
              </w:rPr>
              <w:t>Un responsable n’accède qu’aux données de son organisation.</w:t>
            </w:r>
          </w:p>
        </w:tc>
      </w:tr>
      <w:tr>
        <w:tc>
          <w:tcPr>
            <w:tcW w:type="dxa" w:w="2606"/>
            <w:vAlign w:val="top"/>
            <w:shd w:fill="F7F9FB"/>
            <w:tcMar>
              <w:top w:w="65" w:type="dxa"/>
              <w:start w:w="65" w:type="dxa"/>
              <w:bottom w:w="65" w:type="dxa"/>
              <w:end w:w="65" w:type="dxa"/>
            </w:tcMar>
          </w:tcPr>
          <w:p>
            <w:pPr>
              <w:pStyle w:val="TableSmall"/>
            </w:pPr>
            <w:r>
              <w:rPr>
                <w:sz w:val="15"/>
              </w:rPr>
              <w:t>LMS-10</w:t>
            </w:r>
          </w:p>
        </w:tc>
        <w:tc>
          <w:tcPr>
            <w:tcW w:type="dxa" w:w="2606"/>
            <w:vAlign w:val="top"/>
            <w:shd w:fill="F7F9FB"/>
            <w:tcMar>
              <w:top w:w="65" w:type="dxa"/>
              <w:start w:w="65" w:type="dxa"/>
              <w:bottom w:w="65" w:type="dxa"/>
              <w:end w:w="65" w:type="dxa"/>
            </w:tcMar>
          </w:tcPr>
          <w:p>
            <w:pPr>
              <w:pStyle w:val="TableSmall"/>
            </w:pPr>
            <w:r>
              <w:rPr>
                <w:sz w:val="15"/>
              </w:rPr>
              <w:t>MUST</w:t>
            </w:r>
          </w:p>
        </w:tc>
        <w:tc>
          <w:tcPr>
            <w:tcW w:type="dxa" w:w="2606"/>
            <w:vAlign w:val="top"/>
            <w:shd w:fill="F7F9FB"/>
            <w:tcMar>
              <w:top w:w="65" w:type="dxa"/>
              <w:start w:w="65" w:type="dxa"/>
              <w:bottom w:w="65" w:type="dxa"/>
              <w:end w:w="65" w:type="dxa"/>
            </w:tcMar>
          </w:tcPr>
          <w:p>
            <w:pPr>
              <w:pStyle w:val="TableSmall"/>
            </w:pPr>
            <w:r>
              <w:rPr>
                <w:sz w:val="15"/>
              </w:rPr>
              <w:t>Tableau de bord formateur : participants, contenus, corrections, présence, messagerie, statistiques.</w:t>
            </w:r>
          </w:p>
        </w:tc>
        <w:tc>
          <w:tcPr>
            <w:tcW w:type="dxa" w:w="2606"/>
            <w:vAlign w:val="top"/>
            <w:shd w:fill="F7F9FB"/>
            <w:tcMar>
              <w:top w:w="65" w:type="dxa"/>
              <w:start w:w="65" w:type="dxa"/>
              <w:bottom w:w="65" w:type="dxa"/>
              <w:end w:w="65" w:type="dxa"/>
            </w:tcMar>
          </w:tcPr>
          <w:p>
            <w:pPr>
              <w:pStyle w:val="TableSmall"/>
            </w:pPr>
            <w:r>
              <w:rPr>
                <w:sz w:val="15"/>
              </w:rPr>
              <w:t>Gestion d’une session sans droits globaux.</w:t>
            </w:r>
          </w:p>
        </w:tc>
      </w:tr>
      <w:tr>
        <w:tc>
          <w:tcPr>
            <w:tcW w:type="dxa" w:w="2606"/>
            <w:vAlign w:val="top"/>
            <w:tcMar>
              <w:top w:w="65" w:type="dxa"/>
              <w:start w:w="65" w:type="dxa"/>
              <w:bottom w:w="65" w:type="dxa"/>
              <w:end w:w="65" w:type="dxa"/>
            </w:tcMar>
          </w:tcPr>
          <w:p>
            <w:pPr>
              <w:pStyle w:val="TableSmall"/>
            </w:pPr>
            <w:r>
              <w:rPr>
                <w:sz w:val="15"/>
              </w:rPr>
              <w:t>LMS-11</w:t>
            </w:r>
          </w:p>
        </w:tc>
        <w:tc>
          <w:tcPr>
            <w:tcW w:type="dxa" w:w="2606"/>
            <w:vAlign w:val="top"/>
            <w:tcMar>
              <w:top w:w="65" w:type="dxa"/>
              <w:start w:w="65" w:type="dxa"/>
              <w:bottom w:w="65" w:type="dxa"/>
              <w:end w:w="65" w:type="dxa"/>
            </w:tcMar>
          </w:tcPr>
          <w:p>
            <w:pPr>
              <w:pStyle w:val="TableSmall"/>
            </w:pPr>
            <w:r>
              <w:rPr>
                <w:sz w:val="15"/>
              </w:rPr>
              <w:t>SHOULD</w:t>
            </w:r>
          </w:p>
        </w:tc>
        <w:tc>
          <w:tcPr>
            <w:tcW w:type="dxa" w:w="2606"/>
            <w:vAlign w:val="top"/>
            <w:tcMar>
              <w:top w:w="65" w:type="dxa"/>
              <w:start w:w="65" w:type="dxa"/>
              <w:bottom w:w="65" w:type="dxa"/>
              <w:end w:w="65" w:type="dxa"/>
            </w:tcMar>
          </w:tcPr>
          <w:p>
            <w:pPr>
              <w:pStyle w:val="TableSmall"/>
            </w:pPr>
            <w:r>
              <w:rPr>
                <w:sz w:val="15"/>
              </w:rPr>
              <w:t>Notifications : email, internes, adaptateurs SMS/WhatsApp optionnels.</w:t>
            </w:r>
          </w:p>
        </w:tc>
        <w:tc>
          <w:tcPr>
            <w:tcW w:type="dxa" w:w="2606"/>
            <w:vAlign w:val="top"/>
            <w:tcMar>
              <w:top w:w="65" w:type="dxa"/>
              <w:start w:w="65" w:type="dxa"/>
              <w:bottom w:w="65" w:type="dxa"/>
              <w:end w:w="65" w:type="dxa"/>
            </w:tcMar>
          </w:tcPr>
          <w:p>
            <w:pPr>
              <w:pStyle w:val="TableSmall"/>
            </w:pPr>
            <w:r>
              <w:rPr>
                <w:sz w:val="15"/>
              </w:rPr>
              <w:t>Rappels configurables pour inscription, session, retard et certification.</w:t>
            </w:r>
          </w:p>
        </w:tc>
      </w:tr>
      <w:tr>
        <w:tc>
          <w:tcPr>
            <w:tcW w:type="dxa" w:w="2606"/>
            <w:vAlign w:val="top"/>
            <w:shd w:fill="F7F9FB"/>
            <w:tcMar>
              <w:top w:w="65" w:type="dxa"/>
              <w:start w:w="65" w:type="dxa"/>
              <w:bottom w:w="65" w:type="dxa"/>
              <w:end w:w="65" w:type="dxa"/>
            </w:tcMar>
          </w:tcPr>
          <w:p>
            <w:pPr>
              <w:pStyle w:val="TableSmall"/>
            </w:pPr>
            <w:r>
              <w:rPr>
                <w:sz w:val="15"/>
              </w:rPr>
              <w:t>LMS-12</w:t>
            </w:r>
          </w:p>
        </w:tc>
        <w:tc>
          <w:tcPr>
            <w:tcW w:type="dxa" w:w="2606"/>
            <w:vAlign w:val="top"/>
            <w:shd w:fill="F7F9FB"/>
            <w:tcMar>
              <w:top w:w="65" w:type="dxa"/>
              <w:start w:w="65" w:type="dxa"/>
              <w:bottom w:w="65" w:type="dxa"/>
              <w:end w:w="65" w:type="dxa"/>
            </w:tcMar>
          </w:tcPr>
          <w:p>
            <w:pPr>
              <w:pStyle w:val="TableSmall"/>
            </w:pPr>
            <w:r>
              <w:rPr>
                <w:sz w:val="15"/>
              </w:rPr>
              <w:t>SHOULD</w:t>
            </w:r>
          </w:p>
        </w:tc>
        <w:tc>
          <w:tcPr>
            <w:tcW w:type="dxa" w:w="2606"/>
            <w:vAlign w:val="top"/>
            <w:shd w:fill="F7F9FB"/>
            <w:tcMar>
              <w:top w:w="65" w:type="dxa"/>
              <w:start w:w="65" w:type="dxa"/>
              <w:bottom w:w="65" w:type="dxa"/>
              <w:end w:w="65" w:type="dxa"/>
            </w:tcMar>
          </w:tcPr>
          <w:p>
            <w:pPr>
              <w:pStyle w:val="TableSmall"/>
            </w:pPr>
            <w:r>
              <w:rPr>
                <w:sz w:val="15"/>
              </w:rPr>
              <w:t>Forums / espaces de discussion modérés par cours ou cohorte.</w:t>
            </w:r>
          </w:p>
        </w:tc>
        <w:tc>
          <w:tcPr>
            <w:tcW w:type="dxa" w:w="2606"/>
            <w:vAlign w:val="top"/>
            <w:shd w:fill="F7F9FB"/>
            <w:tcMar>
              <w:top w:w="65" w:type="dxa"/>
              <w:start w:w="65" w:type="dxa"/>
              <w:bottom w:w="65" w:type="dxa"/>
              <w:end w:w="65" w:type="dxa"/>
            </w:tcMar>
          </w:tcPr>
          <w:p>
            <w:pPr>
              <w:pStyle w:val="TableSmall"/>
            </w:pPr>
            <w:r>
              <w:rPr>
                <w:sz w:val="15"/>
              </w:rPr>
              <w:t>Accès limité aux inscrits et modération disponible.</w:t>
            </w:r>
          </w:p>
        </w:tc>
      </w:tr>
      <w:tr>
        <w:tc>
          <w:tcPr>
            <w:tcW w:type="dxa" w:w="2606"/>
            <w:vAlign w:val="top"/>
            <w:tcMar>
              <w:top w:w="65" w:type="dxa"/>
              <w:start w:w="65" w:type="dxa"/>
              <w:bottom w:w="65" w:type="dxa"/>
              <w:end w:w="65" w:type="dxa"/>
            </w:tcMar>
          </w:tcPr>
          <w:p>
            <w:pPr>
              <w:pStyle w:val="TableSmall"/>
            </w:pPr>
            <w:r>
              <w:rPr>
                <w:sz w:val="15"/>
              </w:rPr>
              <w:t>LMS-13</w:t>
            </w:r>
          </w:p>
        </w:tc>
        <w:tc>
          <w:tcPr>
            <w:tcW w:type="dxa" w:w="2606"/>
            <w:vAlign w:val="top"/>
            <w:tcMar>
              <w:top w:w="65" w:type="dxa"/>
              <w:start w:w="65" w:type="dxa"/>
              <w:bottom w:w="65" w:type="dxa"/>
              <w:end w:w="65" w:type="dxa"/>
            </w:tcMar>
          </w:tcPr>
          <w:p>
            <w:pPr>
              <w:pStyle w:val="TableSmall"/>
            </w:pPr>
            <w:r>
              <w:rPr>
                <w:sz w:val="15"/>
              </w:rPr>
              <w:t>SHOULD</w:t>
            </w:r>
          </w:p>
        </w:tc>
        <w:tc>
          <w:tcPr>
            <w:tcW w:type="dxa" w:w="2606"/>
            <w:vAlign w:val="top"/>
            <w:tcMar>
              <w:top w:w="65" w:type="dxa"/>
              <w:start w:w="65" w:type="dxa"/>
              <w:bottom w:w="65" w:type="dxa"/>
              <w:end w:w="65" w:type="dxa"/>
            </w:tcMar>
          </w:tcPr>
          <w:p>
            <w:pPr>
              <w:pStyle w:val="TableSmall"/>
            </w:pPr>
            <w:r>
              <w:rPr>
                <w:sz w:val="15"/>
              </w:rPr>
              <w:t>Interopérabilité pédagogique : H5P/équivalent et import SCORM/xAPI selon priorité.</w:t>
            </w:r>
          </w:p>
        </w:tc>
        <w:tc>
          <w:tcPr>
            <w:tcW w:type="dxa" w:w="2606"/>
            <w:vAlign w:val="top"/>
            <w:tcMar>
              <w:top w:w="65" w:type="dxa"/>
              <w:start w:w="65" w:type="dxa"/>
              <w:bottom w:w="65" w:type="dxa"/>
              <w:end w:w="65" w:type="dxa"/>
            </w:tcMar>
          </w:tcPr>
          <w:p>
            <w:pPr>
              <w:pStyle w:val="TableSmall"/>
            </w:pPr>
            <w:r>
              <w:rPr>
                <w:sz w:val="15"/>
              </w:rPr>
              <w:t>Import pilote et suivi d’achèvement démontrés.</w:t>
            </w:r>
          </w:p>
        </w:tc>
      </w:tr>
      <w:tr>
        <w:tc>
          <w:tcPr>
            <w:tcW w:type="dxa" w:w="2606"/>
            <w:vAlign w:val="top"/>
            <w:shd w:fill="F7F9FB"/>
            <w:tcMar>
              <w:top w:w="65" w:type="dxa"/>
              <w:start w:w="65" w:type="dxa"/>
              <w:bottom w:w="65" w:type="dxa"/>
              <w:end w:w="65" w:type="dxa"/>
            </w:tcMar>
          </w:tcPr>
          <w:p>
            <w:pPr>
              <w:pStyle w:val="TableSmall"/>
            </w:pPr>
            <w:r>
              <w:rPr>
                <w:sz w:val="15"/>
              </w:rPr>
              <w:t>LMS-14</w:t>
            </w:r>
          </w:p>
        </w:tc>
        <w:tc>
          <w:tcPr>
            <w:tcW w:type="dxa" w:w="2606"/>
            <w:vAlign w:val="top"/>
            <w:shd w:fill="F7F9FB"/>
            <w:tcMar>
              <w:top w:w="65" w:type="dxa"/>
              <w:start w:w="65" w:type="dxa"/>
              <w:bottom w:w="65" w:type="dxa"/>
              <w:end w:w="65" w:type="dxa"/>
            </w:tcMar>
          </w:tcPr>
          <w:p>
            <w:pPr>
              <w:pStyle w:val="TableSmall"/>
            </w:pPr>
            <w:r>
              <w:rPr>
                <w:sz w:val="15"/>
              </w:rPr>
              <w:t>SHOULD</w:t>
            </w:r>
          </w:p>
        </w:tc>
        <w:tc>
          <w:tcPr>
            <w:tcW w:type="dxa" w:w="2606"/>
            <w:vAlign w:val="top"/>
            <w:shd w:fill="F7F9FB"/>
            <w:tcMar>
              <w:top w:w="65" w:type="dxa"/>
              <w:start w:w="65" w:type="dxa"/>
              <w:bottom w:w="65" w:type="dxa"/>
              <w:end w:w="65" w:type="dxa"/>
            </w:tcMar>
          </w:tcPr>
          <w:p>
            <w:pPr>
              <w:pStyle w:val="TableSmall"/>
            </w:pPr>
            <w:r>
              <w:rPr>
                <w:sz w:val="15"/>
              </w:rPr>
              <w:t>Bibliothèque de ressources pédagogiques transversales et recherche.</w:t>
            </w:r>
          </w:p>
        </w:tc>
        <w:tc>
          <w:tcPr>
            <w:tcW w:type="dxa" w:w="2606"/>
            <w:vAlign w:val="top"/>
            <w:shd w:fill="F7F9FB"/>
            <w:tcMar>
              <w:top w:w="65" w:type="dxa"/>
              <w:start w:w="65" w:type="dxa"/>
              <w:bottom w:w="65" w:type="dxa"/>
              <w:end w:w="65" w:type="dxa"/>
            </w:tcMar>
          </w:tcPr>
          <w:p>
            <w:pPr>
              <w:pStyle w:val="TableSmall"/>
            </w:pPr>
            <w:r>
              <w:rPr>
                <w:sz w:val="15"/>
              </w:rPr>
              <w:t>Réutilisation d’une ressource dans plusieurs cours.</w:t>
            </w:r>
          </w:p>
        </w:tc>
      </w:tr>
      <w:tr>
        <w:tc>
          <w:tcPr>
            <w:tcW w:type="dxa" w:w="2606"/>
            <w:vAlign w:val="top"/>
            <w:tcMar>
              <w:top w:w="65" w:type="dxa"/>
              <w:start w:w="65" w:type="dxa"/>
              <w:bottom w:w="65" w:type="dxa"/>
              <w:end w:w="65" w:type="dxa"/>
            </w:tcMar>
          </w:tcPr>
          <w:p>
            <w:pPr>
              <w:pStyle w:val="TableSmall"/>
            </w:pPr>
            <w:r>
              <w:rPr>
                <w:sz w:val="15"/>
              </w:rPr>
              <w:t>LMS-15</w:t>
            </w:r>
          </w:p>
        </w:tc>
        <w:tc>
          <w:tcPr>
            <w:tcW w:type="dxa" w:w="2606"/>
            <w:vAlign w:val="top"/>
            <w:tcMar>
              <w:top w:w="65" w:type="dxa"/>
              <w:start w:w="65" w:type="dxa"/>
              <w:bottom w:w="65" w:type="dxa"/>
              <w:end w:w="65" w:type="dxa"/>
            </w:tcMar>
          </w:tcPr>
          <w:p>
            <w:pPr>
              <w:pStyle w:val="TableSmall"/>
            </w:pPr>
            <w:r>
              <w:rPr>
                <w:sz w:val="15"/>
              </w:rPr>
              <w:t>SHOULD</w:t>
            </w:r>
          </w:p>
        </w:tc>
        <w:tc>
          <w:tcPr>
            <w:tcW w:type="dxa" w:w="2606"/>
            <w:vAlign w:val="top"/>
            <w:tcMar>
              <w:top w:w="65" w:type="dxa"/>
              <w:start w:w="65" w:type="dxa"/>
              <w:bottom w:w="65" w:type="dxa"/>
              <w:end w:w="65" w:type="dxa"/>
            </w:tcMar>
          </w:tcPr>
          <w:p>
            <w:pPr>
              <w:pStyle w:val="TableSmall"/>
            </w:pPr>
            <w:r>
              <w:rPr>
                <w:sz w:val="15"/>
              </w:rPr>
              <w:t>Master Class : inscription, paiement, intervenant invité, synchrone, replay, certificat optionnel.</w:t>
            </w:r>
          </w:p>
        </w:tc>
        <w:tc>
          <w:tcPr>
            <w:tcW w:type="dxa" w:w="2606"/>
            <w:vAlign w:val="top"/>
            <w:tcMar>
              <w:top w:w="65" w:type="dxa"/>
              <w:start w:w="65" w:type="dxa"/>
              <w:bottom w:w="65" w:type="dxa"/>
              <w:end w:w="65" w:type="dxa"/>
            </w:tcMar>
          </w:tcPr>
          <w:p>
            <w:pPr>
              <w:pStyle w:val="TableSmall"/>
            </w:pPr>
            <w:r>
              <w:rPr>
                <w:sz w:val="15"/>
              </w:rPr>
              <w:t>Événement pilote géré de bout en bout.</w:t>
            </w:r>
          </w:p>
        </w:tc>
      </w:tr>
      <w:tr>
        <w:tc>
          <w:tcPr>
            <w:tcW w:type="dxa" w:w="2606"/>
            <w:vAlign w:val="top"/>
            <w:shd w:fill="F7F9FB"/>
            <w:tcMar>
              <w:top w:w="65" w:type="dxa"/>
              <w:start w:w="65" w:type="dxa"/>
              <w:bottom w:w="65" w:type="dxa"/>
              <w:end w:w="65" w:type="dxa"/>
            </w:tcMar>
          </w:tcPr>
          <w:p>
            <w:pPr>
              <w:pStyle w:val="TableSmall"/>
            </w:pPr>
            <w:r>
              <w:rPr>
                <w:sz w:val="15"/>
              </w:rPr>
              <w:t>LMS-16</w:t>
            </w:r>
          </w:p>
        </w:tc>
        <w:tc>
          <w:tcPr>
            <w:tcW w:type="dxa" w:w="2606"/>
            <w:vAlign w:val="top"/>
            <w:shd w:fill="F7F9FB"/>
            <w:tcMar>
              <w:top w:w="65" w:type="dxa"/>
              <w:start w:w="65" w:type="dxa"/>
              <w:bottom w:w="65" w:type="dxa"/>
              <w:end w:w="65" w:type="dxa"/>
            </w:tcMar>
          </w:tcPr>
          <w:p>
            <w:pPr>
              <w:pStyle w:val="TableSmall"/>
            </w:pPr>
            <w:r>
              <w:rPr>
                <w:sz w:val="15"/>
              </w:rPr>
              <w:t>SHOULD</w:t>
            </w:r>
          </w:p>
        </w:tc>
        <w:tc>
          <w:tcPr>
            <w:tcW w:type="dxa" w:w="2606"/>
            <w:vAlign w:val="top"/>
            <w:shd w:fill="F7F9FB"/>
            <w:tcMar>
              <w:top w:w="65" w:type="dxa"/>
              <w:start w:w="65" w:type="dxa"/>
              <w:bottom w:w="65" w:type="dxa"/>
              <w:end w:w="65" w:type="dxa"/>
            </w:tcMar>
          </w:tcPr>
          <w:p>
            <w:pPr>
              <w:pStyle w:val="TableSmall"/>
            </w:pPr>
            <w:r>
              <w:rPr>
                <w:sz w:val="15"/>
              </w:rPr>
              <w:t>Questionnaires de satisfaction et impact post-formation.</w:t>
            </w:r>
          </w:p>
        </w:tc>
        <w:tc>
          <w:tcPr>
            <w:tcW w:type="dxa" w:w="2606"/>
            <w:vAlign w:val="top"/>
            <w:shd w:fill="F7F9FB"/>
            <w:tcMar>
              <w:top w:w="65" w:type="dxa"/>
              <w:start w:w="65" w:type="dxa"/>
              <w:bottom w:w="65" w:type="dxa"/>
              <w:end w:w="65" w:type="dxa"/>
            </w:tcMar>
          </w:tcPr>
          <w:p>
            <w:pPr>
              <w:pStyle w:val="TableSmall"/>
            </w:pPr>
            <w:r>
              <w:rPr>
                <w:sz w:val="15"/>
              </w:rPr>
              <w:t>Résultats agrégés par module/session.</w:t>
            </w:r>
          </w:p>
        </w:tc>
      </w:tr>
      <w:tr>
        <w:tc>
          <w:tcPr>
            <w:tcW w:type="dxa" w:w="2606"/>
            <w:vAlign w:val="top"/>
            <w:tcMar>
              <w:top w:w="65" w:type="dxa"/>
              <w:start w:w="65" w:type="dxa"/>
              <w:bottom w:w="65" w:type="dxa"/>
              <w:end w:w="65" w:type="dxa"/>
            </w:tcMar>
          </w:tcPr>
          <w:p>
            <w:pPr>
              <w:pStyle w:val="TableSmall"/>
            </w:pPr>
            <w:r>
              <w:rPr>
                <w:sz w:val="15"/>
              </w:rPr>
              <w:t>LMS-17</w:t>
            </w:r>
          </w:p>
        </w:tc>
        <w:tc>
          <w:tcPr>
            <w:tcW w:type="dxa" w:w="2606"/>
            <w:vAlign w:val="top"/>
            <w:tcMar>
              <w:top w:w="65" w:type="dxa"/>
              <w:start w:w="65" w:type="dxa"/>
              <w:bottom w:w="65" w:type="dxa"/>
              <w:end w:w="65" w:type="dxa"/>
            </w:tcMar>
          </w:tcPr>
          <w:p>
            <w:pPr>
              <w:pStyle w:val="TableSmall"/>
            </w:pPr>
            <w:r>
              <w:rPr>
                <w:sz w:val="15"/>
              </w:rPr>
              <w:t>MUST</w:t>
            </w:r>
          </w:p>
        </w:tc>
        <w:tc>
          <w:tcPr>
            <w:tcW w:type="dxa" w:w="2606"/>
            <w:vAlign w:val="top"/>
            <w:tcMar>
              <w:top w:w="65" w:type="dxa"/>
              <w:start w:w="65" w:type="dxa"/>
              <w:bottom w:w="65" w:type="dxa"/>
              <w:end w:w="65" w:type="dxa"/>
            </w:tcMar>
          </w:tcPr>
          <w:p>
            <w:pPr>
              <w:pStyle w:val="TableSmall"/>
            </w:pPr>
            <w:r>
              <w:rPr>
                <w:sz w:val="15"/>
              </w:rPr>
              <w:t>Versionnement des cours et traçabilité des modifications importantes.</w:t>
            </w:r>
          </w:p>
        </w:tc>
        <w:tc>
          <w:tcPr>
            <w:tcW w:type="dxa" w:w="2606"/>
            <w:vAlign w:val="top"/>
            <w:tcMar>
              <w:top w:w="65" w:type="dxa"/>
              <w:start w:w="65" w:type="dxa"/>
              <w:bottom w:w="65" w:type="dxa"/>
              <w:end w:w="65" w:type="dxa"/>
            </w:tcMar>
          </w:tcPr>
          <w:p>
            <w:pPr>
              <w:pStyle w:val="TableSmall"/>
            </w:pPr>
            <w:r>
              <w:rPr>
                <w:sz w:val="15"/>
              </w:rPr>
              <w:t>Une cohorte terminée conserve la version suivie du contenu.</w:t>
            </w:r>
          </w:p>
        </w:tc>
      </w:tr>
      <w:tr>
        <w:tc>
          <w:tcPr>
            <w:tcW w:type="dxa" w:w="2606"/>
            <w:vAlign w:val="top"/>
            <w:shd w:fill="F7F9FB"/>
            <w:tcMar>
              <w:top w:w="65" w:type="dxa"/>
              <w:start w:w="65" w:type="dxa"/>
              <w:bottom w:w="65" w:type="dxa"/>
              <w:end w:w="65" w:type="dxa"/>
            </w:tcMar>
          </w:tcPr>
          <w:p>
            <w:pPr>
              <w:pStyle w:val="TableSmall"/>
            </w:pPr>
            <w:r>
              <w:rPr>
                <w:sz w:val="15"/>
              </w:rPr>
              <w:t>LMS-18</w:t>
            </w:r>
          </w:p>
        </w:tc>
        <w:tc>
          <w:tcPr>
            <w:tcW w:type="dxa" w:w="2606"/>
            <w:vAlign w:val="top"/>
            <w:shd w:fill="F7F9FB"/>
            <w:tcMar>
              <w:top w:w="65" w:type="dxa"/>
              <w:start w:w="65" w:type="dxa"/>
              <w:bottom w:w="65" w:type="dxa"/>
              <w:end w:w="65" w:type="dxa"/>
            </w:tcMar>
          </w:tcPr>
          <w:p>
            <w:pPr>
              <w:pStyle w:val="TableSmall"/>
            </w:pPr>
            <w:r>
              <w:rPr>
                <w:sz w:val="15"/>
              </w:rPr>
              <w:t>MUST</w:t>
            </w:r>
          </w:p>
        </w:tc>
        <w:tc>
          <w:tcPr>
            <w:tcW w:type="dxa" w:w="2606"/>
            <w:vAlign w:val="top"/>
            <w:shd w:fill="F7F9FB"/>
            <w:tcMar>
              <w:top w:w="65" w:type="dxa"/>
              <w:start w:w="65" w:type="dxa"/>
              <w:bottom w:w="65" w:type="dxa"/>
              <w:end w:w="65" w:type="dxa"/>
            </w:tcMar>
          </w:tcPr>
          <w:p>
            <w:pPr>
              <w:pStyle w:val="TableSmall"/>
            </w:pPr>
            <w:r>
              <w:rPr>
                <w:sz w:val="15"/>
              </w:rPr>
              <w:t>Banque de questions réutilisable, catégorisée et versionnée.</w:t>
            </w:r>
          </w:p>
        </w:tc>
        <w:tc>
          <w:tcPr>
            <w:tcW w:type="dxa" w:w="2606"/>
            <w:vAlign w:val="top"/>
            <w:shd w:fill="F7F9FB"/>
            <w:tcMar>
              <w:top w:w="65" w:type="dxa"/>
              <w:start w:w="65" w:type="dxa"/>
              <w:bottom w:w="65" w:type="dxa"/>
              <w:end w:w="65" w:type="dxa"/>
            </w:tcMar>
          </w:tcPr>
          <w:p>
            <w:pPr>
              <w:pStyle w:val="TableSmall"/>
            </w:pPr>
            <w:r>
              <w:rPr>
                <w:sz w:val="15"/>
              </w:rPr>
              <w:t>Questions réutilisées sans duplication non maîtrisée.</w:t>
            </w:r>
          </w:p>
        </w:tc>
      </w:tr>
      <w:tr>
        <w:tc>
          <w:tcPr>
            <w:tcW w:type="dxa" w:w="2606"/>
            <w:vAlign w:val="top"/>
            <w:tcMar>
              <w:top w:w="65" w:type="dxa"/>
              <w:start w:w="65" w:type="dxa"/>
              <w:bottom w:w="65" w:type="dxa"/>
              <w:end w:w="65" w:type="dxa"/>
            </w:tcMar>
          </w:tcPr>
          <w:p>
            <w:pPr>
              <w:pStyle w:val="TableSmall"/>
            </w:pPr>
            <w:r>
              <w:rPr>
                <w:sz w:val="15"/>
              </w:rPr>
              <w:t>LMS-19</w:t>
            </w:r>
          </w:p>
        </w:tc>
        <w:tc>
          <w:tcPr>
            <w:tcW w:type="dxa" w:w="2606"/>
            <w:vAlign w:val="top"/>
            <w:tcMar>
              <w:top w:w="65" w:type="dxa"/>
              <w:start w:w="65" w:type="dxa"/>
              <w:bottom w:w="65" w:type="dxa"/>
              <w:end w:w="65" w:type="dxa"/>
            </w:tcMar>
          </w:tcPr>
          <w:p>
            <w:pPr>
              <w:pStyle w:val="TableSmall"/>
            </w:pPr>
            <w:r>
              <w:rPr>
                <w:sz w:val="15"/>
              </w:rPr>
              <w:t>MUST</w:t>
            </w:r>
          </w:p>
        </w:tc>
        <w:tc>
          <w:tcPr>
            <w:tcW w:type="dxa" w:w="2606"/>
            <w:vAlign w:val="top"/>
            <w:tcMar>
              <w:top w:w="65" w:type="dxa"/>
              <w:start w:w="65" w:type="dxa"/>
              <w:bottom w:w="65" w:type="dxa"/>
              <w:end w:w="65" w:type="dxa"/>
            </w:tcMar>
          </w:tcPr>
          <w:p>
            <w:pPr>
              <w:pStyle w:val="TableSmall"/>
            </w:pPr>
            <w:r>
              <w:rPr>
                <w:sz w:val="15"/>
              </w:rPr>
              <w:t>Gestion de devoirs avec dépôt de fichiers, texte riche, date limite, correction et feedback.</w:t>
            </w:r>
          </w:p>
        </w:tc>
        <w:tc>
          <w:tcPr>
            <w:tcW w:type="dxa" w:w="2606"/>
            <w:vAlign w:val="top"/>
            <w:tcMar>
              <w:top w:w="65" w:type="dxa"/>
              <w:start w:w="65" w:type="dxa"/>
              <w:bottom w:w="65" w:type="dxa"/>
              <w:end w:w="65" w:type="dxa"/>
            </w:tcMar>
          </w:tcPr>
          <w:p>
            <w:pPr>
              <w:pStyle w:val="TableSmall"/>
            </w:pPr>
            <w:r>
              <w:rPr>
                <w:sz w:val="15"/>
              </w:rPr>
              <w:t>Soumission, notation et feedback traçables.</w:t>
            </w:r>
          </w:p>
        </w:tc>
      </w:tr>
      <w:tr>
        <w:tc>
          <w:tcPr>
            <w:tcW w:type="dxa" w:w="2606"/>
            <w:vAlign w:val="top"/>
            <w:shd w:fill="F7F9FB"/>
            <w:tcMar>
              <w:top w:w="65" w:type="dxa"/>
              <w:start w:w="65" w:type="dxa"/>
              <w:bottom w:w="65" w:type="dxa"/>
              <w:end w:w="65" w:type="dxa"/>
            </w:tcMar>
          </w:tcPr>
          <w:p>
            <w:pPr>
              <w:pStyle w:val="TableSmall"/>
            </w:pPr>
            <w:r>
              <w:rPr>
                <w:sz w:val="15"/>
              </w:rPr>
              <w:t>LMS-20</w:t>
            </w:r>
          </w:p>
        </w:tc>
        <w:tc>
          <w:tcPr>
            <w:tcW w:type="dxa" w:w="2606"/>
            <w:vAlign w:val="top"/>
            <w:shd w:fill="F7F9FB"/>
            <w:tcMar>
              <w:top w:w="65" w:type="dxa"/>
              <w:start w:w="65" w:type="dxa"/>
              <w:bottom w:w="65" w:type="dxa"/>
              <w:end w:w="65" w:type="dxa"/>
            </w:tcMar>
          </w:tcPr>
          <w:p>
            <w:pPr>
              <w:pStyle w:val="TableSmall"/>
            </w:pPr>
            <w:r>
              <w:rPr>
                <w:sz w:val="15"/>
              </w:rPr>
              <w:t>SHOULD</w:t>
            </w:r>
          </w:p>
        </w:tc>
        <w:tc>
          <w:tcPr>
            <w:tcW w:type="dxa" w:w="2606"/>
            <w:vAlign w:val="top"/>
            <w:shd w:fill="F7F9FB"/>
            <w:tcMar>
              <w:top w:w="65" w:type="dxa"/>
              <w:start w:w="65" w:type="dxa"/>
              <w:bottom w:w="65" w:type="dxa"/>
              <w:end w:w="65" w:type="dxa"/>
            </w:tcMar>
          </w:tcPr>
          <w:p>
            <w:pPr>
              <w:pStyle w:val="TableSmall"/>
            </w:pPr>
            <w:r>
              <w:rPr>
                <w:sz w:val="15"/>
              </w:rPr>
              <w:t>Reprise après interruption réseau et mode bas débit ; téléchargement contrôlé de ressources autorisées.</w:t>
            </w:r>
          </w:p>
        </w:tc>
        <w:tc>
          <w:tcPr>
            <w:tcW w:type="dxa" w:w="2606"/>
            <w:vAlign w:val="top"/>
            <w:shd w:fill="F7F9FB"/>
            <w:tcMar>
              <w:top w:w="65" w:type="dxa"/>
              <w:start w:w="65" w:type="dxa"/>
              <w:bottom w:w="65" w:type="dxa"/>
              <w:end w:w="65" w:type="dxa"/>
            </w:tcMar>
          </w:tcPr>
          <w:p>
            <w:pPr>
              <w:pStyle w:val="TableSmall"/>
            </w:pPr>
            <w:r>
              <w:rPr>
                <w:sz w:val="15"/>
              </w:rPr>
              <w:t>Progression non perdue après coupure sur scénarios testés.</w:t>
            </w:r>
          </w:p>
        </w:tc>
      </w:tr>
      <w:tr>
        <w:tc>
          <w:tcPr>
            <w:tcW w:type="dxa" w:w="2606"/>
            <w:vAlign w:val="top"/>
            <w:tcMar>
              <w:top w:w="65" w:type="dxa"/>
              <w:start w:w="65" w:type="dxa"/>
              <w:bottom w:w="65" w:type="dxa"/>
              <w:end w:w="65" w:type="dxa"/>
            </w:tcMar>
          </w:tcPr>
          <w:p>
            <w:pPr>
              <w:pStyle w:val="TableSmall"/>
            </w:pPr>
            <w:r>
              <w:rPr>
                <w:sz w:val="15"/>
              </w:rPr>
              <w:t>LMS-21</w:t>
            </w:r>
          </w:p>
        </w:tc>
        <w:tc>
          <w:tcPr>
            <w:tcW w:type="dxa" w:w="2606"/>
            <w:vAlign w:val="top"/>
            <w:tcMar>
              <w:top w:w="65" w:type="dxa"/>
              <w:start w:w="65" w:type="dxa"/>
              <w:bottom w:w="65" w:type="dxa"/>
              <w:end w:w="65" w:type="dxa"/>
            </w:tcMar>
          </w:tcPr>
          <w:p>
            <w:pPr>
              <w:pStyle w:val="TableSmall"/>
            </w:pPr>
            <w:r>
              <w:rPr>
                <w:sz w:val="15"/>
              </w:rPr>
              <w:t>MUST</w:t>
            </w:r>
          </w:p>
        </w:tc>
        <w:tc>
          <w:tcPr>
            <w:tcW w:type="dxa" w:w="2606"/>
            <w:vAlign w:val="top"/>
            <w:tcMar>
              <w:top w:w="65" w:type="dxa"/>
              <w:start w:w="65" w:type="dxa"/>
              <w:bottom w:w="65" w:type="dxa"/>
              <w:end w:w="65" w:type="dxa"/>
            </w:tcMar>
          </w:tcPr>
          <w:p>
            <w:pPr>
              <w:pStyle w:val="TableSmall"/>
            </w:pPr>
            <w:r>
              <w:rPr>
                <w:sz w:val="15"/>
              </w:rPr>
              <w:t>Rapports : actifs, inscrits, complétion, réussite, assiduité, temps, certificats, revenus, satisfaction.</w:t>
            </w:r>
          </w:p>
        </w:tc>
        <w:tc>
          <w:tcPr>
            <w:tcW w:type="dxa" w:w="2606"/>
            <w:vAlign w:val="top"/>
            <w:tcMar>
              <w:top w:w="65" w:type="dxa"/>
              <w:start w:w="65" w:type="dxa"/>
              <w:bottom w:w="65" w:type="dxa"/>
              <w:end w:w="65" w:type="dxa"/>
            </w:tcMar>
          </w:tcPr>
          <w:p>
            <w:pPr>
              <w:pStyle w:val="TableSmall"/>
            </w:pPr>
            <w:r>
              <w:rPr>
                <w:sz w:val="15"/>
              </w:rPr>
              <w:t>Exports CSV/XLSX/PDF ou équivalents exploitables.</w:t>
            </w:r>
          </w:p>
        </w:tc>
      </w:tr>
      <w:tr>
        <w:tc>
          <w:tcPr>
            <w:tcW w:type="dxa" w:w="2606"/>
            <w:vAlign w:val="top"/>
            <w:shd w:fill="F7F9FB"/>
            <w:tcMar>
              <w:top w:w="65" w:type="dxa"/>
              <w:start w:w="65" w:type="dxa"/>
              <w:bottom w:w="65" w:type="dxa"/>
              <w:end w:w="65" w:type="dxa"/>
            </w:tcMar>
          </w:tcPr>
          <w:p>
            <w:pPr>
              <w:pStyle w:val="TableSmall"/>
            </w:pPr>
            <w:r>
              <w:rPr>
                <w:sz w:val="15"/>
              </w:rPr>
              <w:t>LMS-22</w:t>
            </w:r>
          </w:p>
        </w:tc>
        <w:tc>
          <w:tcPr>
            <w:tcW w:type="dxa" w:w="2606"/>
            <w:vAlign w:val="top"/>
            <w:shd w:fill="F7F9FB"/>
            <w:tcMar>
              <w:top w:w="65" w:type="dxa"/>
              <w:start w:w="65" w:type="dxa"/>
              <w:bottom w:w="65" w:type="dxa"/>
              <w:end w:w="65" w:type="dxa"/>
            </w:tcMar>
          </w:tcPr>
          <w:p>
            <w:pPr>
              <w:pStyle w:val="TableSmall"/>
            </w:pPr>
            <w:r>
              <w:rPr>
                <w:sz w:val="15"/>
              </w:rPr>
              <w:t>MUST</w:t>
            </w:r>
          </w:p>
        </w:tc>
        <w:tc>
          <w:tcPr>
            <w:tcW w:type="dxa" w:w="2606"/>
            <w:vAlign w:val="top"/>
            <w:shd w:fill="F7F9FB"/>
            <w:tcMar>
              <w:top w:w="65" w:type="dxa"/>
              <w:start w:w="65" w:type="dxa"/>
              <w:bottom w:w="65" w:type="dxa"/>
              <w:end w:w="65" w:type="dxa"/>
            </w:tcMar>
          </w:tcPr>
          <w:p>
            <w:pPr>
              <w:pStyle w:val="TableSmall"/>
            </w:pPr>
            <w:r>
              <w:rPr>
                <w:sz w:val="15"/>
              </w:rPr>
              <w:t>Règles d’achèvement configurables par activité, séquence et cours.</w:t>
            </w:r>
          </w:p>
        </w:tc>
        <w:tc>
          <w:tcPr>
            <w:tcW w:type="dxa" w:w="2606"/>
            <w:vAlign w:val="top"/>
            <w:shd w:fill="F7F9FB"/>
            <w:tcMar>
              <w:top w:w="65" w:type="dxa"/>
              <w:start w:w="65" w:type="dxa"/>
              <w:bottom w:w="65" w:type="dxa"/>
              <w:end w:w="65" w:type="dxa"/>
            </w:tcMar>
          </w:tcPr>
          <w:p>
            <w:pPr>
              <w:pStyle w:val="TableSmall"/>
            </w:pPr>
            <w:r>
              <w:rPr>
                <w:sz w:val="15"/>
              </w:rPr>
              <w:t>Le certificat et la progression suivent ces règles.</w:t>
            </w:r>
          </w:p>
        </w:tc>
      </w:tr>
    </w:tbl>
    <w:p>
      <w:pPr>
        <w:spacing w:after="20"/>
      </w:pPr>
    </w:p>
    <w:p>
      <w:pPr>
        <w:pStyle w:val="Heading1"/>
      </w:pPr>
      <w:r>
        <w:t>11. Exigences partagées</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2606"/>
            <w:shd w:fill="0B66B2"/>
            <w:vAlign w:val="center"/>
            <w:tcMar>
              <w:top w:w="70" w:type="dxa"/>
              <w:start w:w="70" w:type="dxa"/>
              <w:bottom w:w="70" w:type="dxa"/>
              <w:end w:w="70" w:type="dxa"/>
            </w:tcMar>
          </w:tcPr>
          <w:p>
            <w:pPr>
              <w:pStyle w:val="TableSmall"/>
            </w:pPr>
            <w:r>
              <w:rPr>
                <w:b/>
                <w:color w:val="FFFFFF"/>
                <w:sz w:val="15"/>
              </w:rPr>
              <w:t>ID</w:t>
            </w:r>
          </w:p>
        </w:tc>
        <w:tc>
          <w:tcPr>
            <w:tcW w:type="dxa" w:w="2606"/>
            <w:shd w:fill="0B66B2"/>
            <w:vAlign w:val="center"/>
            <w:tcMar>
              <w:top w:w="70" w:type="dxa"/>
              <w:start w:w="70" w:type="dxa"/>
              <w:bottom w:w="70" w:type="dxa"/>
              <w:end w:w="70" w:type="dxa"/>
            </w:tcMar>
          </w:tcPr>
          <w:p>
            <w:pPr>
              <w:pStyle w:val="TableSmall"/>
            </w:pPr>
            <w:r>
              <w:rPr>
                <w:b/>
                <w:color w:val="FFFFFF"/>
                <w:sz w:val="15"/>
              </w:rPr>
              <w:t>Priorité</w:t>
            </w:r>
          </w:p>
        </w:tc>
        <w:tc>
          <w:tcPr>
            <w:tcW w:type="dxa" w:w="2606"/>
            <w:shd w:fill="0B66B2"/>
            <w:vAlign w:val="center"/>
            <w:tcMar>
              <w:top w:w="70" w:type="dxa"/>
              <w:start w:w="70" w:type="dxa"/>
              <w:bottom w:w="70" w:type="dxa"/>
              <w:end w:w="70" w:type="dxa"/>
            </w:tcMar>
          </w:tcPr>
          <w:p>
            <w:pPr>
              <w:pStyle w:val="TableSmall"/>
            </w:pPr>
            <w:r>
              <w:rPr>
                <w:b/>
                <w:color w:val="FFFFFF"/>
                <w:sz w:val="15"/>
              </w:rPr>
              <w:t>Exigence</w:t>
            </w:r>
          </w:p>
        </w:tc>
        <w:tc>
          <w:tcPr>
            <w:tcW w:type="dxa" w:w="2606"/>
            <w:shd w:fill="0B66B2"/>
            <w:vAlign w:val="center"/>
            <w:tcMar>
              <w:top w:w="70" w:type="dxa"/>
              <w:start w:w="70" w:type="dxa"/>
              <w:bottom w:w="70" w:type="dxa"/>
              <w:end w:w="70" w:type="dxa"/>
            </w:tcMar>
          </w:tcPr>
          <w:p>
            <w:pPr>
              <w:pStyle w:val="TableSmall"/>
            </w:pPr>
            <w:r>
              <w:rPr>
                <w:b/>
                <w:color w:val="FFFFFF"/>
                <w:sz w:val="15"/>
              </w:rPr>
              <w:t>Critère de recette</w:t>
            </w:r>
          </w:p>
        </w:tc>
      </w:tr>
      <w:tr>
        <w:tc>
          <w:tcPr>
            <w:tcW w:type="dxa" w:w="2606"/>
            <w:vAlign w:val="top"/>
            <w:tcMar>
              <w:top w:w="65" w:type="dxa"/>
              <w:start w:w="65" w:type="dxa"/>
              <w:bottom w:w="65" w:type="dxa"/>
              <w:end w:w="65" w:type="dxa"/>
            </w:tcMar>
          </w:tcPr>
          <w:p>
            <w:pPr>
              <w:pStyle w:val="TableSmall"/>
            </w:pPr>
            <w:r>
              <w:rPr>
                <w:sz w:val="15"/>
              </w:rPr>
              <w:t>SHR-01</w:t>
            </w:r>
          </w:p>
        </w:tc>
        <w:tc>
          <w:tcPr>
            <w:tcW w:type="dxa" w:w="2606"/>
            <w:vAlign w:val="top"/>
            <w:tcMar>
              <w:top w:w="65" w:type="dxa"/>
              <w:start w:w="65" w:type="dxa"/>
              <w:bottom w:w="65" w:type="dxa"/>
              <w:end w:w="65" w:type="dxa"/>
            </w:tcMar>
          </w:tcPr>
          <w:p>
            <w:pPr>
              <w:pStyle w:val="TableSmall"/>
            </w:pPr>
            <w:r>
              <w:rPr>
                <w:sz w:val="15"/>
              </w:rPr>
              <w:t>MUST</w:t>
            </w:r>
          </w:p>
        </w:tc>
        <w:tc>
          <w:tcPr>
            <w:tcW w:type="dxa" w:w="2606"/>
            <w:vAlign w:val="top"/>
            <w:tcMar>
              <w:top w:w="65" w:type="dxa"/>
              <w:start w:w="65" w:type="dxa"/>
              <w:bottom w:w="65" w:type="dxa"/>
              <w:end w:w="65" w:type="dxa"/>
            </w:tcMar>
          </w:tcPr>
          <w:p>
            <w:pPr>
              <w:pStyle w:val="TableSmall"/>
            </w:pPr>
            <w:r>
              <w:rPr>
                <w:sz w:val="15"/>
              </w:rPr>
              <w:t>Identité fédérée par OIDC/OAuth2 avec fournisseur d’identité dédié ; aucune authentification sensible réimplémentée artisanalement.</w:t>
            </w:r>
          </w:p>
        </w:tc>
        <w:tc>
          <w:tcPr>
            <w:tcW w:type="dxa" w:w="2606"/>
            <w:vAlign w:val="top"/>
            <w:tcMar>
              <w:top w:w="65" w:type="dxa"/>
              <w:start w:w="65" w:type="dxa"/>
              <w:bottom w:w="65" w:type="dxa"/>
              <w:end w:w="65" w:type="dxa"/>
            </w:tcMar>
          </w:tcPr>
          <w:p>
            <w:pPr>
              <w:pStyle w:val="TableSmall"/>
            </w:pPr>
            <w:r>
              <w:rPr>
                <w:sz w:val="15"/>
              </w:rPr>
              <w:t>SSO fonctionnel sur les deux sous-domaines ; MFA pour administrateurs au niveau de l’IdP.</w:t>
            </w:r>
          </w:p>
        </w:tc>
      </w:tr>
      <w:tr>
        <w:tc>
          <w:tcPr>
            <w:tcW w:type="dxa" w:w="2606"/>
            <w:vAlign w:val="top"/>
            <w:shd w:fill="F7F9FB"/>
            <w:tcMar>
              <w:top w:w="65" w:type="dxa"/>
              <w:start w:w="65" w:type="dxa"/>
              <w:bottom w:w="65" w:type="dxa"/>
              <w:end w:w="65" w:type="dxa"/>
            </w:tcMar>
          </w:tcPr>
          <w:p>
            <w:pPr>
              <w:pStyle w:val="TableSmall"/>
            </w:pPr>
            <w:r>
              <w:rPr>
                <w:sz w:val="15"/>
              </w:rPr>
              <w:t>SHR-02</w:t>
            </w:r>
          </w:p>
        </w:tc>
        <w:tc>
          <w:tcPr>
            <w:tcW w:type="dxa" w:w="2606"/>
            <w:vAlign w:val="top"/>
            <w:shd w:fill="F7F9FB"/>
            <w:tcMar>
              <w:top w:w="65" w:type="dxa"/>
              <w:start w:w="65" w:type="dxa"/>
              <w:bottom w:w="65" w:type="dxa"/>
              <w:end w:w="65" w:type="dxa"/>
            </w:tcMar>
          </w:tcPr>
          <w:p>
            <w:pPr>
              <w:pStyle w:val="TableSmall"/>
            </w:pPr>
            <w:r>
              <w:rPr>
                <w:sz w:val="15"/>
              </w:rPr>
              <w:t>MUST</w:t>
            </w:r>
          </w:p>
        </w:tc>
        <w:tc>
          <w:tcPr>
            <w:tcW w:type="dxa" w:w="2606"/>
            <w:vAlign w:val="top"/>
            <w:shd w:fill="F7F9FB"/>
            <w:tcMar>
              <w:top w:w="65" w:type="dxa"/>
              <w:start w:w="65" w:type="dxa"/>
              <w:bottom w:w="65" w:type="dxa"/>
              <w:end w:w="65" w:type="dxa"/>
            </w:tcMar>
          </w:tcPr>
          <w:p>
            <w:pPr>
              <w:pStyle w:val="TableSmall"/>
            </w:pPr>
            <w:r>
              <w:rPr>
                <w:sz w:val="15"/>
              </w:rPr>
              <w:t>RBAC avec portées globales, organisationnelles, de cours et de session.</w:t>
            </w:r>
          </w:p>
        </w:tc>
        <w:tc>
          <w:tcPr>
            <w:tcW w:type="dxa" w:w="2606"/>
            <w:vAlign w:val="top"/>
            <w:shd w:fill="F7F9FB"/>
            <w:tcMar>
              <w:top w:w="65" w:type="dxa"/>
              <w:start w:w="65" w:type="dxa"/>
              <w:bottom w:w="65" w:type="dxa"/>
              <w:end w:w="65" w:type="dxa"/>
            </w:tcMar>
          </w:tcPr>
          <w:p>
            <w:pPr>
              <w:pStyle w:val="TableSmall"/>
            </w:pPr>
            <w:r>
              <w:rPr>
                <w:sz w:val="15"/>
              </w:rPr>
              <w:t>Tests automatiques empêchent les accès croisés non autorisés.</w:t>
            </w:r>
          </w:p>
        </w:tc>
      </w:tr>
      <w:tr>
        <w:tc>
          <w:tcPr>
            <w:tcW w:type="dxa" w:w="2606"/>
            <w:vAlign w:val="top"/>
            <w:tcMar>
              <w:top w:w="65" w:type="dxa"/>
              <w:start w:w="65" w:type="dxa"/>
              <w:bottom w:w="65" w:type="dxa"/>
              <w:end w:w="65" w:type="dxa"/>
            </w:tcMar>
          </w:tcPr>
          <w:p>
            <w:pPr>
              <w:pStyle w:val="TableSmall"/>
            </w:pPr>
            <w:r>
              <w:rPr>
                <w:sz w:val="15"/>
              </w:rPr>
              <w:t>SHR-03</w:t>
            </w:r>
          </w:p>
        </w:tc>
        <w:tc>
          <w:tcPr>
            <w:tcW w:type="dxa" w:w="2606"/>
            <w:vAlign w:val="top"/>
            <w:tcMar>
              <w:top w:w="65" w:type="dxa"/>
              <w:start w:w="65" w:type="dxa"/>
              <w:bottom w:w="65" w:type="dxa"/>
              <w:end w:w="65" w:type="dxa"/>
            </w:tcMar>
          </w:tcPr>
          <w:p>
            <w:pPr>
              <w:pStyle w:val="TableSmall"/>
            </w:pPr>
            <w:r>
              <w:rPr>
                <w:sz w:val="15"/>
              </w:rPr>
              <w:t>MUST</w:t>
            </w:r>
          </w:p>
        </w:tc>
        <w:tc>
          <w:tcPr>
            <w:tcW w:type="dxa" w:w="2606"/>
            <w:vAlign w:val="top"/>
            <w:tcMar>
              <w:top w:w="65" w:type="dxa"/>
              <w:start w:w="65" w:type="dxa"/>
              <w:bottom w:w="65" w:type="dxa"/>
              <w:end w:w="65" w:type="dxa"/>
            </w:tcMar>
          </w:tcPr>
          <w:p>
            <w:pPr>
              <w:pStyle w:val="TableSmall"/>
            </w:pPr>
            <w:r>
              <w:rPr>
                <w:sz w:val="15"/>
              </w:rPr>
              <w:t>PostgreSQL comme base relationnelle principale ; migrations versionnées.</w:t>
            </w:r>
          </w:p>
        </w:tc>
        <w:tc>
          <w:tcPr>
            <w:tcW w:type="dxa" w:w="2606"/>
            <w:vAlign w:val="top"/>
            <w:tcMar>
              <w:top w:w="65" w:type="dxa"/>
              <w:start w:w="65" w:type="dxa"/>
              <w:bottom w:w="65" w:type="dxa"/>
              <w:end w:w="65" w:type="dxa"/>
            </w:tcMar>
          </w:tcPr>
          <w:p>
            <w:pPr>
              <w:pStyle w:val="TableSmall"/>
            </w:pPr>
            <w:r>
              <w:rPr>
                <w:sz w:val="15"/>
              </w:rPr>
              <w:t>Migration reproductible sur environnement vierge.</w:t>
            </w:r>
          </w:p>
        </w:tc>
      </w:tr>
      <w:tr>
        <w:tc>
          <w:tcPr>
            <w:tcW w:type="dxa" w:w="2606"/>
            <w:vAlign w:val="top"/>
            <w:shd w:fill="F7F9FB"/>
            <w:tcMar>
              <w:top w:w="65" w:type="dxa"/>
              <w:start w:w="65" w:type="dxa"/>
              <w:bottom w:w="65" w:type="dxa"/>
              <w:end w:w="65" w:type="dxa"/>
            </w:tcMar>
          </w:tcPr>
          <w:p>
            <w:pPr>
              <w:pStyle w:val="TableSmall"/>
            </w:pPr>
            <w:r>
              <w:rPr>
                <w:sz w:val="15"/>
              </w:rPr>
              <w:t>SHR-04</w:t>
            </w:r>
          </w:p>
        </w:tc>
        <w:tc>
          <w:tcPr>
            <w:tcW w:type="dxa" w:w="2606"/>
            <w:vAlign w:val="top"/>
            <w:shd w:fill="F7F9FB"/>
            <w:tcMar>
              <w:top w:w="65" w:type="dxa"/>
              <w:start w:w="65" w:type="dxa"/>
              <w:bottom w:w="65" w:type="dxa"/>
              <w:end w:w="65" w:type="dxa"/>
            </w:tcMar>
          </w:tcPr>
          <w:p>
            <w:pPr>
              <w:pStyle w:val="TableSmall"/>
            </w:pPr>
            <w:r>
              <w:rPr>
                <w:sz w:val="15"/>
              </w:rPr>
              <w:t>MUST</w:t>
            </w:r>
          </w:p>
        </w:tc>
        <w:tc>
          <w:tcPr>
            <w:tcW w:type="dxa" w:w="2606"/>
            <w:vAlign w:val="top"/>
            <w:shd w:fill="F7F9FB"/>
            <w:tcMar>
              <w:top w:w="65" w:type="dxa"/>
              <w:start w:w="65" w:type="dxa"/>
              <w:bottom w:w="65" w:type="dxa"/>
              <w:end w:w="65" w:type="dxa"/>
            </w:tcMar>
          </w:tcPr>
          <w:p>
            <w:pPr>
              <w:pStyle w:val="TableSmall"/>
            </w:pPr>
            <w:r>
              <w:rPr>
                <w:sz w:val="15"/>
              </w:rPr>
              <w:t>Stockage objet S3-compatible pour médias et pièces jointes ; URL signées pour contenus privés.</w:t>
            </w:r>
          </w:p>
        </w:tc>
        <w:tc>
          <w:tcPr>
            <w:tcW w:type="dxa" w:w="2606"/>
            <w:vAlign w:val="top"/>
            <w:shd w:fill="F7F9FB"/>
            <w:tcMar>
              <w:top w:w="65" w:type="dxa"/>
              <w:start w:w="65" w:type="dxa"/>
              <w:bottom w:w="65" w:type="dxa"/>
              <w:end w:w="65" w:type="dxa"/>
            </w:tcMar>
          </w:tcPr>
          <w:p>
            <w:pPr>
              <w:pStyle w:val="TableSmall"/>
            </w:pPr>
            <w:r>
              <w:rPr>
                <w:sz w:val="15"/>
              </w:rPr>
              <w:t>Accès privé impossible sans autorisation.</w:t>
            </w:r>
          </w:p>
        </w:tc>
      </w:tr>
      <w:tr>
        <w:tc>
          <w:tcPr>
            <w:tcW w:type="dxa" w:w="2606"/>
            <w:vAlign w:val="top"/>
            <w:tcMar>
              <w:top w:w="65" w:type="dxa"/>
              <w:start w:w="65" w:type="dxa"/>
              <w:bottom w:w="65" w:type="dxa"/>
              <w:end w:w="65" w:type="dxa"/>
            </w:tcMar>
          </w:tcPr>
          <w:p>
            <w:pPr>
              <w:pStyle w:val="TableSmall"/>
            </w:pPr>
            <w:r>
              <w:rPr>
                <w:sz w:val="15"/>
              </w:rPr>
              <w:t>SHR-05</w:t>
            </w:r>
          </w:p>
        </w:tc>
        <w:tc>
          <w:tcPr>
            <w:tcW w:type="dxa" w:w="2606"/>
            <w:vAlign w:val="top"/>
            <w:tcMar>
              <w:top w:w="65" w:type="dxa"/>
              <w:start w:w="65" w:type="dxa"/>
              <w:bottom w:w="65" w:type="dxa"/>
              <w:end w:w="65" w:type="dxa"/>
            </w:tcMar>
          </w:tcPr>
          <w:p>
            <w:pPr>
              <w:pStyle w:val="TableSmall"/>
            </w:pPr>
            <w:r>
              <w:rPr>
                <w:sz w:val="15"/>
              </w:rPr>
              <w:t>MUST</w:t>
            </w:r>
          </w:p>
        </w:tc>
        <w:tc>
          <w:tcPr>
            <w:tcW w:type="dxa" w:w="2606"/>
            <w:vAlign w:val="top"/>
            <w:tcMar>
              <w:top w:w="65" w:type="dxa"/>
              <w:start w:w="65" w:type="dxa"/>
              <w:bottom w:w="65" w:type="dxa"/>
              <w:end w:w="65" w:type="dxa"/>
            </w:tcMar>
          </w:tcPr>
          <w:p>
            <w:pPr>
              <w:pStyle w:val="TableSmall"/>
            </w:pPr>
            <w:r>
              <w:rPr>
                <w:sz w:val="15"/>
              </w:rPr>
              <w:t>Service de notifications asynchrones avec file de jobs et reprise sur erreur.</w:t>
            </w:r>
          </w:p>
        </w:tc>
        <w:tc>
          <w:tcPr>
            <w:tcW w:type="dxa" w:w="2606"/>
            <w:vAlign w:val="top"/>
            <w:tcMar>
              <w:top w:w="65" w:type="dxa"/>
              <w:start w:w="65" w:type="dxa"/>
              <w:bottom w:w="65" w:type="dxa"/>
              <w:end w:w="65" w:type="dxa"/>
            </w:tcMar>
          </w:tcPr>
          <w:p>
            <w:pPr>
              <w:pStyle w:val="TableSmall"/>
            </w:pPr>
            <w:r>
              <w:rPr>
                <w:sz w:val="15"/>
              </w:rPr>
              <w:t>Échec d’envoi rejouable et journalisé.</w:t>
            </w:r>
          </w:p>
        </w:tc>
      </w:tr>
      <w:tr>
        <w:tc>
          <w:tcPr>
            <w:tcW w:type="dxa" w:w="2606"/>
            <w:vAlign w:val="top"/>
            <w:shd w:fill="F7F9FB"/>
            <w:tcMar>
              <w:top w:w="65" w:type="dxa"/>
              <w:start w:w="65" w:type="dxa"/>
              <w:bottom w:w="65" w:type="dxa"/>
              <w:end w:w="65" w:type="dxa"/>
            </w:tcMar>
          </w:tcPr>
          <w:p>
            <w:pPr>
              <w:pStyle w:val="TableSmall"/>
            </w:pPr>
            <w:r>
              <w:rPr>
                <w:sz w:val="15"/>
              </w:rPr>
              <w:t>SHR-06</w:t>
            </w:r>
          </w:p>
        </w:tc>
        <w:tc>
          <w:tcPr>
            <w:tcW w:type="dxa" w:w="2606"/>
            <w:vAlign w:val="top"/>
            <w:shd w:fill="F7F9FB"/>
            <w:tcMar>
              <w:top w:w="65" w:type="dxa"/>
              <w:start w:w="65" w:type="dxa"/>
              <w:bottom w:w="65" w:type="dxa"/>
              <w:end w:w="65" w:type="dxa"/>
            </w:tcMar>
          </w:tcPr>
          <w:p>
            <w:pPr>
              <w:pStyle w:val="TableSmall"/>
            </w:pPr>
            <w:r>
              <w:rPr>
                <w:sz w:val="15"/>
              </w:rPr>
              <w:t>MUST</w:t>
            </w:r>
          </w:p>
        </w:tc>
        <w:tc>
          <w:tcPr>
            <w:tcW w:type="dxa" w:w="2606"/>
            <w:vAlign w:val="top"/>
            <w:shd w:fill="F7F9FB"/>
            <w:tcMar>
              <w:top w:w="65" w:type="dxa"/>
              <w:start w:w="65" w:type="dxa"/>
              <w:bottom w:w="65" w:type="dxa"/>
              <w:end w:w="65" w:type="dxa"/>
            </w:tcMar>
          </w:tcPr>
          <w:p>
            <w:pPr>
              <w:pStyle w:val="TableSmall"/>
            </w:pPr>
            <w:r>
              <w:rPr>
                <w:sz w:val="15"/>
              </w:rPr>
              <w:t>Paiements via interface d’adaptation PSP, aucun fournisseur codé en dur dans le domaine métier.</w:t>
            </w:r>
          </w:p>
        </w:tc>
        <w:tc>
          <w:tcPr>
            <w:tcW w:type="dxa" w:w="2606"/>
            <w:vAlign w:val="top"/>
            <w:shd w:fill="F7F9FB"/>
            <w:tcMar>
              <w:top w:w="65" w:type="dxa"/>
              <w:start w:w="65" w:type="dxa"/>
              <w:bottom w:w="65" w:type="dxa"/>
              <w:end w:w="65" w:type="dxa"/>
            </w:tcMar>
          </w:tcPr>
          <w:p>
            <w:pPr>
              <w:pStyle w:val="TableSmall"/>
            </w:pPr>
            <w:r>
              <w:rPr>
                <w:sz w:val="15"/>
              </w:rPr>
              <w:t>Un faux PSP/sandbox permet les tests automatisés.</w:t>
            </w:r>
          </w:p>
        </w:tc>
      </w:tr>
      <w:tr>
        <w:tc>
          <w:tcPr>
            <w:tcW w:type="dxa" w:w="2606"/>
            <w:vAlign w:val="top"/>
            <w:tcMar>
              <w:top w:w="65" w:type="dxa"/>
              <w:start w:w="65" w:type="dxa"/>
              <w:bottom w:w="65" w:type="dxa"/>
              <w:end w:w="65" w:type="dxa"/>
            </w:tcMar>
          </w:tcPr>
          <w:p>
            <w:pPr>
              <w:pStyle w:val="TableSmall"/>
            </w:pPr>
            <w:r>
              <w:rPr>
                <w:sz w:val="15"/>
              </w:rPr>
              <w:t>SHR-07</w:t>
            </w:r>
          </w:p>
        </w:tc>
        <w:tc>
          <w:tcPr>
            <w:tcW w:type="dxa" w:w="2606"/>
            <w:vAlign w:val="top"/>
            <w:tcMar>
              <w:top w:w="65" w:type="dxa"/>
              <w:start w:w="65" w:type="dxa"/>
              <w:bottom w:w="65" w:type="dxa"/>
              <w:end w:w="65" w:type="dxa"/>
            </w:tcMar>
          </w:tcPr>
          <w:p>
            <w:pPr>
              <w:pStyle w:val="TableSmall"/>
            </w:pPr>
            <w:r>
              <w:rPr>
                <w:sz w:val="15"/>
              </w:rPr>
              <w:t>MUST</w:t>
            </w:r>
          </w:p>
        </w:tc>
        <w:tc>
          <w:tcPr>
            <w:tcW w:type="dxa" w:w="2606"/>
            <w:vAlign w:val="top"/>
            <w:tcMar>
              <w:top w:w="65" w:type="dxa"/>
              <w:start w:w="65" w:type="dxa"/>
              <w:bottom w:w="65" w:type="dxa"/>
              <w:end w:w="65" w:type="dxa"/>
            </w:tcMar>
          </w:tcPr>
          <w:p>
            <w:pPr>
              <w:pStyle w:val="TableSmall"/>
            </w:pPr>
            <w:r>
              <w:rPr>
                <w:sz w:val="15"/>
              </w:rPr>
              <w:t>Journal d’audit pour authentification, changements de rôles, paiements, notes, certificats, publications et actions sensibles.</w:t>
            </w:r>
          </w:p>
        </w:tc>
        <w:tc>
          <w:tcPr>
            <w:tcW w:type="dxa" w:w="2606"/>
            <w:vAlign w:val="top"/>
            <w:tcMar>
              <w:top w:w="65" w:type="dxa"/>
              <w:start w:w="65" w:type="dxa"/>
              <w:bottom w:w="65" w:type="dxa"/>
              <w:end w:w="65" w:type="dxa"/>
            </w:tcMar>
          </w:tcPr>
          <w:p>
            <w:pPr>
              <w:pStyle w:val="TableSmall"/>
            </w:pPr>
            <w:r>
              <w:rPr>
                <w:sz w:val="15"/>
              </w:rPr>
              <w:t>Entrées immuables fonctionnellement et consultables par rôle habilité.</w:t>
            </w:r>
          </w:p>
        </w:tc>
      </w:tr>
      <w:tr>
        <w:tc>
          <w:tcPr>
            <w:tcW w:type="dxa" w:w="2606"/>
            <w:vAlign w:val="top"/>
            <w:shd w:fill="F7F9FB"/>
            <w:tcMar>
              <w:top w:w="65" w:type="dxa"/>
              <w:start w:w="65" w:type="dxa"/>
              <w:bottom w:w="65" w:type="dxa"/>
              <w:end w:w="65" w:type="dxa"/>
            </w:tcMar>
          </w:tcPr>
          <w:p>
            <w:pPr>
              <w:pStyle w:val="TableSmall"/>
            </w:pPr>
            <w:r>
              <w:rPr>
                <w:sz w:val="15"/>
              </w:rPr>
              <w:t>SHR-08</w:t>
            </w:r>
          </w:p>
        </w:tc>
        <w:tc>
          <w:tcPr>
            <w:tcW w:type="dxa" w:w="2606"/>
            <w:vAlign w:val="top"/>
            <w:shd w:fill="F7F9FB"/>
            <w:tcMar>
              <w:top w:w="65" w:type="dxa"/>
              <w:start w:w="65" w:type="dxa"/>
              <w:bottom w:w="65" w:type="dxa"/>
              <w:end w:w="65" w:type="dxa"/>
            </w:tcMar>
          </w:tcPr>
          <w:p>
            <w:pPr>
              <w:pStyle w:val="TableSmall"/>
            </w:pPr>
            <w:r>
              <w:rPr>
                <w:sz w:val="15"/>
              </w:rPr>
              <w:t>MUST</w:t>
            </w:r>
          </w:p>
        </w:tc>
        <w:tc>
          <w:tcPr>
            <w:tcW w:type="dxa" w:w="2606"/>
            <w:vAlign w:val="top"/>
            <w:shd w:fill="F7F9FB"/>
            <w:tcMar>
              <w:top w:w="65" w:type="dxa"/>
              <w:start w:w="65" w:type="dxa"/>
              <w:bottom w:w="65" w:type="dxa"/>
              <w:end w:w="65" w:type="dxa"/>
            </w:tcMar>
          </w:tcPr>
          <w:p>
            <w:pPr>
              <w:pStyle w:val="TableSmall"/>
            </w:pPr>
            <w:r>
              <w:rPr>
                <w:sz w:val="15"/>
              </w:rPr>
              <w:t>Gestion des consentements et préférences de communication.</w:t>
            </w:r>
          </w:p>
        </w:tc>
        <w:tc>
          <w:tcPr>
            <w:tcW w:type="dxa" w:w="2606"/>
            <w:vAlign w:val="top"/>
            <w:shd w:fill="F7F9FB"/>
            <w:tcMar>
              <w:top w:w="65" w:type="dxa"/>
              <w:start w:w="65" w:type="dxa"/>
              <w:bottom w:w="65" w:type="dxa"/>
              <w:end w:w="65" w:type="dxa"/>
            </w:tcMar>
          </w:tcPr>
          <w:p>
            <w:pPr>
              <w:pStyle w:val="TableSmall"/>
            </w:pPr>
            <w:r>
              <w:rPr>
                <w:sz w:val="15"/>
              </w:rPr>
              <w:t>Consentement, retrait et horodatage disponibles.</w:t>
            </w:r>
          </w:p>
        </w:tc>
      </w:tr>
      <w:tr>
        <w:tc>
          <w:tcPr>
            <w:tcW w:type="dxa" w:w="2606"/>
            <w:vAlign w:val="top"/>
            <w:tcMar>
              <w:top w:w="65" w:type="dxa"/>
              <w:start w:w="65" w:type="dxa"/>
              <w:bottom w:w="65" w:type="dxa"/>
              <w:end w:w="65" w:type="dxa"/>
            </w:tcMar>
          </w:tcPr>
          <w:p>
            <w:pPr>
              <w:pStyle w:val="TableSmall"/>
            </w:pPr>
            <w:r>
              <w:rPr>
                <w:sz w:val="15"/>
              </w:rPr>
              <w:t>SHR-09</w:t>
            </w:r>
          </w:p>
        </w:tc>
        <w:tc>
          <w:tcPr>
            <w:tcW w:type="dxa" w:w="2606"/>
            <w:vAlign w:val="top"/>
            <w:tcMar>
              <w:top w:w="65" w:type="dxa"/>
              <w:start w:w="65" w:type="dxa"/>
              <w:bottom w:w="65" w:type="dxa"/>
              <w:end w:w="65" w:type="dxa"/>
            </w:tcMar>
          </w:tcPr>
          <w:p>
            <w:pPr>
              <w:pStyle w:val="TableSmall"/>
            </w:pPr>
            <w:r>
              <w:rPr>
                <w:sz w:val="15"/>
              </w:rPr>
              <w:t>SHOULD</w:t>
            </w:r>
          </w:p>
        </w:tc>
        <w:tc>
          <w:tcPr>
            <w:tcW w:type="dxa" w:w="2606"/>
            <w:vAlign w:val="top"/>
            <w:tcMar>
              <w:top w:w="65" w:type="dxa"/>
              <w:start w:w="65" w:type="dxa"/>
              <w:bottom w:w="65" w:type="dxa"/>
              <w:end w:w="65" w:type="dxa"/>
            </w:tcMar>
          </w:tcPr>
          <w:p>
            <w:pPr>
              <w:pStyle w:val="TableSmall"/>
            </w:pPr>
            <w:r>
              <w:rPr>
                <w:sz w:val="15"/>
              </w:rPr>
              <w:t>Recherche unifiée MVP via PostgreSQL FTS/trigram ; moteur dédié possible ultérieurement.</w:t>
            </w:r>
          </w:p>
        </w:tc>
        <w:tc>
          <w:tcPr>
            <w:tcW w:type="dxa" w:w="2606"/>
            <w:vAlign w:val="top"/>
            <w:tcMar>
              <w:top w:w="65" w:type="dxa"/>
              <w:start w:w="65" w:type="dxa"/>
              <w:bottom w:w="65" w:type="dxa"/>
              <w:end w:w="65" w:type="dxa"/>
            </w:tcMar>
          </w:tcPr>
          <w:p>
            <w:pPr>
              <w:pStyle w:val="TableSmall"/>
            </w:pPr>
            <w:r>
              <w:rPr>
                <w:sz w:val="15"/>
              </w:rPr>
              <w:t>Recherche transverse fonctionnelle sans service externe obligatoire.</w:t>
            </w:r>
          </w:p>
        </w:tc>
      </w:tr>
      <w:tr>
        <w:tc>
          <w:tcPr>
            <w:tcW w:type="dxa" w:w="2606"/>
            <w:vAlign w:val="top"/>
            <w:shd w:fill="F7F9FB"/>
            <w:tcMar>
              <w:top w:w="65" w:type="dxa"/>
              <w:start w:w="65" w:type="dxa"/>
              <w:bottom w:w="65" w:type="dxa"/>
              <w:end w:w="65" w:type="dxa"/>
            </w:tcMar>
          </w:tcPr>
          <w:p>
            <w:pPr>
              <w:pStyle w:val="TableSmall"/>
            </w:pPr>
            <w:r>
              <w:rPr>
                <w:sz w:val="15"/>
              </w:rPr>
              <w:t>SHR-10</w:t>
            </w:r>
          </w:p>
        </w:tc>
        <w:tc>
          <w:tcPr>
            <w:tcW w:type="dxa" w:w="2606"/>
            <w:vAlign w:val="top"/>
            <w:shd w:fill="F7F9FB"/>
            <w:tcMar>
              <w:top w:w="65" w:type="dxa"/>
              <w:start w:w="65" w:type="dxa"/>
              <w:bottom w:w="65" w:type="dxa"/>
              <w:end w:w="65" w:type="dxa"/>
            </w:tcMar>
          </w:tcPr>
          <w:p>
            <w:pPr>
              <w:pStyle w:val="TableSmall"/>
            </w:pPr>
            <w:r>
              <w:rPr>
                <w:sz w:val="15"/>
              </w:rPr>
              <w:t>MUST</w:t>
            </w:r>
          </w:p>
        </w:tc>
        <w:tc>
          <w:tcPr>
            <w:tcW w:type="dxa" w:w="2606"/>
            <w:vAlign w:val="top"/>
            <w:shd w:fill="F7F9FB"/>
            <w:tcMar>
              <w:top w:w="65" w:type="dxa"/>
              <w:start w:w="65" w:type="dxa"/>
              <w:bottom w:w="65" w:type="dxa"/>
              <w:end w:w="65" w:type="dxa"/>
            </w:tcMar>
          </w:tcPr>
          <w:p>
            <w:pPr>
              <w:pStyle w:val="TableSmall"/>
            </w:pPr>
            <w:r>
              <w:rPr>
                <w:sz w:val="15"/>
              </w:rPr>
              <w:t>API versionnée et documentée pour intégrations et futurs canaux.</w:t>
            </w:r>
          </w:p>
        </w:tc>
        <w:tc>
          <w:tcPr>
            <w:tcW w:type="dxa" w:w="2606"/>
            <w:vAlign w:val="top"/>
            <w:shd w:fill="F7F9FB"/>
            <w:tcMar>
              <w:top w:w="65" w:type="dxa"/>
              <w:start w:w="65" w:type="dxa"/>
              <w:bottom w:w="65" w:type="dxa"/>
              <w:end w:w="65" w:type="dxa"/>
            </w:tcMar>
          </w:tcPr>
          <w:p>
            <w:pPr>
              <w:pStyle w:val="TableSmall"/>
            </w:pPr>
            <w:r>
              <w:rPr>
                <w:sz w:val="15"/>
              </w:rPr>
              <w:t>Documentation OpenAPI générée et testée.</w:t>
            </w:r>
          </w:p>
        </w:tc>
      </w:tr>
      <w:tr>
        <w:tc>
          <w:tcPr>
            <w:tcW w:type="dxa" w:w="2606"/>
            <w:vAlign w:val="top"/>
            <w:tcMar>
              <w:top w:w="65" w:type="dxa"/>
              <w:start w:w="65" w:type="dxa"/>
              <w:bottom w:w="65" w:type="dxa"/>
              <w:end w:w="65" w:type="dxa"/>
            </w:tcMar>
          </w:tcPr>
          <w:p>
            <w:pPr>
              <w:pStyle w:val="TableSmall"/>
            </w:pPr>
            <w:r>
              <w:rPr>
                <w:sz w:val="15"/>
              </w:rPr>
              <w:t>SHR-11</w:t>
            </w:r>
          </w:p>
        </w:tc>
        <w:tc>
          <w:tcPr>
            <w:tcW w:type="dxa" w:w="2606"/>
            <w:vAlign w:val="top"/>
            <w:tcMar>
              <w:top w:w="65" w:type="dxa"/>
              <w:start w:w="65" w:type="dxa"/>
              <w:bottom w:w="65" w:type="dxa"/>
              <w:end w:w="65" w:type="dxa"/>
            </w:tcMar>
          </w:tcPr>
          <w:p>
            <w:pPr>
              <w:pStyle w:val="TableSmall"/>
            </w:pPr>
            <w:r>
              <w:rPr>
                <w:sz w:val="15"/>
              </w:rPr>
              <w:t>MUST</w:t>
            </w:r>
          </w:p>
        </w:tc>
        <w:tc>
          <w:tcPr>
            <w:tcW w:type="dxa" w:w="2606"/>
            <w:vAlign w:val="top"/>
            <w:tcMar>
              <w:top w:w="65" w:type="dxa"/>
              <w:start w:w="65" w:type="dxa"/>
              <w:bottom w:w="65" w:type="dxa"/>
              <w:end w:w="65" w:type="dxa"/>
            </w:tcMar>
          </w:tcPr>
          <w:p>
            <w:pPr>
              <w:pStyle w:val="TableSmall"/>
            </w:pPr>
            <w:r>
              <w:rPr>
                <w:sz w:val="15"/>
              </w:rPr>
              <w:t>Design system commun FETRAG : bleu, vert et or issus du logo ; composants accessibles.</w:t>
            </w:r>
          </w:p>
        </w:tc>
        <w:tc>
          <w:tcPr>
            <w:tcW w:type="dxa" w:w="2606"/>
            <w:vAlign w:val="top"/>
            <w:tcMar>
              <w:top w:w="65" w:type="dxa"/>
              <w:start w:w="65" w:type="dxa"/>
              <w:bottom w:w="65" w:type="dxa"/>
              <w:end w:w="65" w:type="dxa"/>
            </w:tcMar>
          </w:tcPr>
          <w:p>
            <w:pPr>
              <w:pStyle w:val="TableSmall"/>
            </w:pPr>
            <w:r>
              <w:rPr>
                <w:sz w:val="15"/>
              </w:rPr>
              <w:t>Composants partagés par les deux sites.</w:t>
            </w:r>
          </w:p>
        </w:tc>
      </w:tr>
      <w:tr>
        <w:tc>
          <w:tcPr>
            <w:tcW w:type="dxa" w:w="2606"/>
            <w:vAlign w:val="top"/>
            <w:shd w:fill="F7F9FB"/>
            <w:tcMar>
              <w:top w:w="65" w:type="dxa"/>
              <w:start w:w="65" w:type="dxa"/>
              <w:bottom w:w="65" w:type="dxa"/>
              <w:end w:w="65" w:type="dxa"/>
            </w:tcMar>
          </w:tcPr>
          <w:p>
            <w:pPr>
              <w:pStyle w:val="TableSmall"/>
            </w:pPr>
            <w:r>
              <w:rPr>
                <w:sz w:val="15"/>
              </w:rPr>
              <w:t>SHR-12</w:t>
            </w:r>
          </w:p>
        </w:tc>
        <w:tc>
          <w:tcPr>
            <w:tcW w:type="dxa" w:w="2606"/>
            <w:vAlign w:val="top"/>
            <w:shd w:fill="F7F9FB"/>
            <w:tcMar>
              <w:top w:w="65" w:type="dxa"/>
              <w:start w:w="65" w:type="dxa"/>
              <w:bottom w:w="65" w:type="dxa"/>
              <w:end w:w="65" w:type="dxa"/>
            </w:tcMar>
          </w:tcPr>
          <w:p>
            <w:pPr>
              <w:pStyle w:val="TableSmall"/>
            </w:pPr>
            <w:r>
              <w:rPr>
                <w:sz w:val="15"/>
              </w:rPr>
              <w:t>MUST</w:t>
            </w:r>
          </w:p>
        </w:tc>
        <w:tc>
          <w:tcPr>
            <w:tcW w:type="dxa" w:w="2606"/>
            <w:vAlign w:val="top"/>
            <w:shd w:fill="F7F9FB"/>
            <w:tcMar>
              <w:top w:w="65" w:type="dxa"/>
              <w:start w:w="65" w:type="dxa"/>
              <w:bottom w:w="65" w:type="dxa"/>
              <w:end w:w="65" w:type="dxa"/>
            </w:tcMar>
          </w:tcPr>
          <w:p>
            <w:pPr>
              <w:pStyle w:val="TableSmall"/>
            </w:pPr>
            <w:r>
              <w:rPr>
                <w:sz w:val="15"/>
              </w:rPr>
              <w:t>Observabilité : logs structurés, métriques, erreurs applicatives et santé des services.</w:t>
            </w:r>
          </w:p>
        </w:tc>
        <w:tc>
          <w:tcPr>
            <w:tcW w:type="dxa" w:w="2606"/>
            <w:vAlign w:val="top"/>
            <w:shd w:fill="F7F9FB"/>
            <w:tcMar>
              <w:top w:w="65" w:type="dxa"/>
              <w:start w:w="65" w:type="dxa"/>
              <w:bottom w:w="65" w:type="dxa"/>
              <w:end w:w="65" w:type="dxa"/>
            </w:tcMar>
          </w:tcPr>
          <w:p>
            <w:pPr>
              <w:pStyle w:val="TableSmall"/>
            </w:pPr>
            <w:r>
              <w:rPr>
                <w:sz w:val="15"/>
              </w:rPr>
              <w:t>Tableau de santé et alertes minimales disponibles.</w:t>
            </w:r>
          </w:p>
        </w:tc>
      </w:tr>
    </w:tbl>
    <w:p>
      <w:pPr>
        <w:spacing w:after="20"/>
      </w:pPr>
    </w:p>
    <w:p>
      <w:pPr>
        <w:pStyle w:val="Heading1"/>
      </w:pPr>
      <w:r>
        <w:t>12. Catalogue initial des formations FETRAG</w:t>
      </w:r>
    </w:p>
    <w:p>
      <w:r>
        <w:t>Le catalogue initial doit être préchargé en seed et éditable. Il reprend les dix modules du Programme de formation des Leaders Syndicaux - Session 2026.</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3475"/>
            <w:shd w:fill="0B66B2"/>
            <w:vAlign w:val="center"/>
            <w:tcMar>
              <w:top w:w="70" w:type="dxa"/>
              <w:start w:w="70" w:type="dxa"/>
              <w:bottom w:w="70" w:type="dxa"/>
              <w:end w:w="70" w:type="dxa"/>
            </w:tcMar>
          </w:tcPr>
          <w:p>
            <w:pPr>
              <w:pStyle w:val="TableSmall"/>
            </w:pPr>
            <w:r>
              <w:rPr>
                <w:b/>
                <w:color w:val="FFFFFF"/>
                <w:sz w:val="15"/>
              </w:rPr>
              <w:t>N°</w:t>
            </w:r>
          </w:p>
        </w:tc>
        <w:tc>
          <w:tcPr>
            <w:tcW w:type="dxa" w:w="3475"/>
            <w:shd w:fill="0B66B2"/>
            <w:vAlign w:val="center"/>
            <w:tcMar>
              <w:top w:w="70" w:type="dxa"/>
              <w:start w:w="70" w:type="dxa"/>
              <w:bottom w:w="70" w:type="dxa"/>
              <w:end w:w="70" w:type="dxa"/>
            </w:tcMar>
          </w:tcPr>
          <w:p>
            <w:pPr>
              <w:pStyle w:val="TableSmall"/>
            </w:pPr>
            <w:r>
              <w:rPr>
                <w:b/>
                <w:color w:val="FFFFFF"/>
                <w:sz w:val="15"/>
              </w:rPr>
              <w:t>Module</w:t>
            </w:r>
          </w:p>
        </w:tc>
        <w:tc>
          <w:tcPr>
            <w:tcW w:type="dxa" w:w="3475"/>
            <w:shd w:fill="0B66B2"/>
            <w:vAlign w:val="center"/>
            <w:tcMar>
              <w:top w:w="70" w:type="dxa"/>
              <w:start w:w="70" w:type="dxa"/>
              <w:bottom w:w="70" w:type="dxa"/>
              <w:end w:w="70" w:type="dxa"/>
            </w:tcMar>
          </w:tcPr>
          <w:p>
            <w:pPr>
              <w:pStyle w:val="TableSmall"/>
            </w:pPr>
            <w:r>
              <w:rPr>
                <w:b/>
                <w:color w:val="FFFFFF"/>
                <w:sz w:val="15"/>
              </w:rPr>
              <w:t>Contenus initiaux</w:t>
            </w:r>
          </w:p>
        </w:tc>
      </w:tr>
      <w:tr>
        <w:tc>
          <w:tcPr>
            <w:tcW w:type="dxa" w:w="3475"/>
            <w:vAlign w:val="top"/>
            <w:tcMar>
              <w:top w:w="65" w:type="dxa"/>
              <w:start w:w="65" w:type="dxa"/>
              <w:bottom w:w="65" w:type="dxa"/>
              <w:end w:w="65" w:type="dxa"/>
            </w:tcMar>
          </w:tcPr>
          <w:p>
            <w:pPr>
              <w:pStyle w:val="TableSmall"/>
            </w:pPr>
            <w:r>
              <w:rPr>
                <w:sz w:val="15"/>
              </w:rPr>
              <w:t>01</w:t>
            </w:r>
          </w:p>
        </w:tc>
        <w:tc>
          <w:tcPr>
            <w:tcW w:type="dxa" w:w="3475"/>
            <w:vAlign w:val="top"/>
            <w:tcMar>
              <w:top w:w="65" w:type="dxa"/>
              <w:start w:w="65" w:type="dxa"/>
              <w:bottom w:w="65" w:type="dxa"/>
              <w:end w:w="65" w:type="dxa"/>
            </w:tcMar>
          </w:tcPr>
          <w:p>
            <w:pPr>
              <w:pStyle w:val="TableSmall"/>
            </w:pPr>
            <w:r>
              <w:rPr>
                <w:sz w:val="15"/>
              </w:rPr>
              <w:t>Fondamentaux du Syndicalisme Gabonais</w:t>
            </w:r>
          </w:p>
        </w:tc>
        <w:tc>
          <w:tcPr>
            <w:tcW w:type="dxa" w:w="3475"/>
            <w:vAlign w:val="top"/>
            <w:tcMar>
              <w:top w:w="65" w:type="dxa"/>
              <w:start w:w="65" w:type="dxa"/>
              <w:bottom w:w="65" w:type="dxa"/>
              <w:end w:w="65" w:type="dxa"/>
            </w:tcMar>
          </w:tcPr>
          <w:p>
            <w:pPr>
              <w:pStyle w:val="TableSmall"/>
            </w:pPr>
            <w:r>
              <w:rPr>
                <w:sz w:val="15"/>
              </w:rPr>
              <w:t>Historique du mouvement syndical au Gabon ; cadre juridique et réglementaire (Code du travail, conventions collectives) ; FETRAG : mission, valeurs et triptyque fondateur.</w:t>
            </w:r>
          </w:p>
        </w:tc>
      </w:tr>
      <w:tr>
        <w:tc>
          <w:tcPr>
            <w:tcW w:type="dxa" w:w="3475"/>
            <w:vAlign w:val="top"/>
            <w:shd w:fill="F7F9FB"/>
            <w:tcMar>
              <w:top w:w="65" w:type="dxa"/>
              <w:start w:w="65" w:type="dxa"/>
              <w:bottom w:w="65" w:type="dxa"/>
              <w:end w:w="65" w:type="dxa"/>
            </w:tcMar>
          </w:tcPr>
          <w:p>
            <w:pPr>
              <w:pStyle w:val="TableSmall"/>
            </w:pPr>
            <w:r>
              <w:rPr>
                <w:sz w:val="15"/>
              </w:rPr>
              <w:t>02</w:t>
            </w:r>
          </w:p>
        </w:tc>
        <w:tc>
          <w:tcPr>
            <w:tcW w:type="dxa" w:w="3475"/>
            <w:vAlign w:val="top"/>
            <w:shd w:fill="F7F9FB"/>
            <w:tcMar>
              <w:top w:w="65" w:type="dxa"/>
              <w:start w:w="65" w:type="dxa"/>
              <w:bottom w:w="65" w:type="dxa"/>
              <w:end w:w="65" w:type="dxa"/>
            </w:tcMar>
          </w:tcPr>
          <w:p>
            <w:pPr>
              <w:pStyle w:val="TableSmall"/>
            </w:pPr>
            <w:r>
              <w:rPr>
                <w:sz w:val="15"/>
              </w:rPr>
              <w:t>Droit du Travail et Contentieux</w:t>
            </w:r>
          </w:p>
        </w:tc>
        <w:tc>
          <w:tcPr>
            <w:tcW w:type="dxa" w:w="3475"/>
            <w:vAlign w:val="top"/>
            <w:shd w:fill="F7F9FB"/>
            <w:tcMar>
              <w:top w:w="65" w:type="dxa"/>
              <w:start w:w="65" w:type="dxa"/>
              <w:bottom w:w="65" w:type="dxa"/>
              <w:end w:w="65" w:type="dxa"/>
            </w:tcMar>
          </w:tcPr>
          <w:p>
            <w:pPr>
              <w:pStyle w:val="TableSmall"/>
            </w:pPr>
            <w:r>
              <w:rPr>
                <w:sz w:val="15"/>
              </w:rPr>
              <w:t>Sources du droit du travail gabonais ; procédures disciplinaires et licenciements ; contentieux individuels et collectifs.</w:t>
            </w:r>
          </w:p>
        </w:tc>
      </w:tr>
      <w:tr>
        <w:tc>
          <w:tcPr>
            <w:tcW w:type="dxa" w:w="3475"/>
            <w:vAlign w:val="top"/>
            <w:tcMar>
              <w:top w:w="65" w:type="dxa"/>
              <w:start w:w="65" w:type="dxa"/>
              <w:bottom w:w="65" w:type="dxa"/>
              <w:end w:w="65" w:type="dxa"/>
            </w:tcMar>
          </w:tcPr>
          <w:p>
            <w:pPr>
              <w:pStyle w:val="TableSmall"/>
            </w:pPr>
            <w:r>
              <w:rPr>
                <w:sz w:val="15"/>
              </w:rPr>
              <w:t>03</w:t>
            </w:r>
          </w:p>
        </w:tc>
        <w:tc>
          <w:tcPr>
            <w:tcW w:type="dxa" w:w="3475"/>
            <w:vAlign w:val="top"/>
            <w:tcMar>
              <w:top w:w="65" w:type="dxa"/>
              <w:start w:w="65" w:type="dxa"/>
              <w:bottom w:w="65" w:type="dxa"/>
              <w:end w:w="65" w:type="dxa"/>
            </w:tcMar>
          </w:tcPr>
          <w:p>
            <w:pPr>
              <w:pStyle w:val="TableSmall"/>
            </w:pPr>
            <w:r>
              <w:rPr>
                <w:sz w:val="15"/>
              </w:rPr>
              <w:t>Négociation Collective et Dialogue Social</w:t>
            </w:r>
          </w:p>
        </w:tc>
        <w:tc>
          <w:tcPr>
            <w:tcW w:type="dxa" w:w="3475"/>
            <w:vAlign w:val="top"/>
            <w:tcMar>
              <w:top w:w="65" w:type="dxa"/>
              <w:start w:w="65" w:type="dxa"/>
              <w:bottom w:w="65" w:type="dxa"/>
              <w:end w:w="65" w:type="dxa"/>
            </w:tcMar>
          </w:tcPr>
          <w:p>
            <w:pPr>
              <w:pStyle w:val="TableSmall"/>
            </w:pPr>
            <w:r>
              <w:rPr>
                <w:sz w:val="15"/>
              </w:rPr>
              <w:t>Techniques de négociation et préparation des revendications ; conventions collectives ; médiation, conciliation et arbitrage.</w:t>
            </w:r>
          </w:p>
        </w:tc>
      </w:tr>
      <w:tr>
        <w:tc>
          <w:tcPr>
            <w:tcW w:type="dxa" w:w="3475"/>
            <w:vAlign w:val="top"/>
            <w:shd w:fill="F7F9FB"/>
            <w:tcMar>
              <w:top w:w="65" w:type="dxa"/>
              <w:start w:w="65" w:type="dxa"/>
              <w:bottom w:w="65" w:type="dxa"/>
              <w:end w:w="65" w:type="dxa"/>
            </w:tcMar>
          </w:tcPr>
          <w:p>
            <w:pPr>
              <w:pStyle w:val="TableSmall"/>
            </w:pPr>
            <w:r>
              <w:rPr>
                <w:sz w:val="15"/>
              </w:rPr>
              <w:t>04</w:t>
            </w:r>
          </w:p>
        </w:tc>
        <w:tc>
          <w:tcPr>
            <w:tcW w:type="dxa" w:w="3475"/>
            <w:vAlign w:val="top"/>
            <w:shd w:fill="F7F9FB"/>
            <w:tcMar>
              <w:top w:w="65" w:type="dxa"/>
              <w:start w:w="65" w:type="dxa"/>
              <w:bottom w:w="65" w:type="dxa"/>
              <w:end w:w="65" w:type="dxa"/>
            </w:tcMar>
          </w:tcPr>
          <w:p>
            <w:pPr>
              <w:pStyle w:val="TableSmall"/>
            </w:pPr>
            <w:r>
              <w:rPr>
                <w:sz w:val="15"/>
              </w:rPr>
              <w:t>Organisation et Gestion Syndicale</w:t>
            </w:r>
          </w:p>
        </w:tc>
        <w:tc>
          <w:tcPr>
            <w:tcW w:type="dxa" w:w="3475"/>
            <w:vAlign w:val="top"/>
            <w:shd w:fill="F7F9FB"/>
            <w:tcMar>
              <w:top w:w="65" w:type="dxa"/>
              <w:start w:w="65" w:type="dxa"/>
              <w:bottom w:w="65" w:type="dxa"/>
              <w:end w:w="65" w:type="dxa"/>
            </w:tcMar>
          </w:tcPr>
          <w:p>
            <w:pPr>
              <w:pStyle w:val="TableSmall"/>
            </w:pPr>
            <w:r>
              <w:rPr>
                <w:sz w:val="15"/>
              </w:rPr>
              <w:t>Constitution et fonctionnement d’une section syndicale ; gestion financière et transparence ; communication interne et mobilisation.</w:t>
            </w:r>
          </w:p>
        </w:tc>
      </w:tr>
      <w:tr>
        <w:tc>
          <w:tcPr>
            <w:tcW w:type="dxa" w:w="3475"/>
            <w:vAlign w:val="top"/>
            <w:tcMar>
              <w:top w:w="65" w:type="dxa"/>
              <w:start w:w="65" w:type="dxa"/>
              <w:bottom w:w="65" w:type="dxa"/>
              <w:end w:w="65" w:type="dxa"/>
            </w:tcMar>
          </w:tcPr>
          <w:p>
            <w:pPr>
              <w:pStyle w:val="TableSmall"/>
            </w:pPr>
            <w:r>
              <w:rPr>
                <w:sz w:val="15"/>
              </w:rPr>
              <w:t>05</w:t>
            </w:r>
          </w:p>
        </w:tc>
        <w:tc>
          <w:tcPr>
            <w:tcW w:type="dxa" w:w="3475"/>
            <w:vAlign w:val="top"/>
            <w:tcMar>
              <w:top w:w="65" w:type="dxa"/>
              <w:start w:w="65" w:type="dxa"/>
              <w:bottom w:w="65" w:type="dxa"/>
              <w:end w:w="65" w:type="dxa"/>
            </w:tcMar>
          </w:tcPr>
          <w:p>
            <w:pPr>
              <w:pStyle w:val="TableSmall"/>
            </w:pPr>
            <w:r>
              <w:rPr>
                <w:sz w:val="15"/>
              </w:rPr>
              <w:t>Prévention et Gestion des Conflits Sociaux</w:t>
            </w:r>
          </w:p>
        </w:tc>
        <w:tc>
          <w:tcPr>
            <w:tcW w:type="dxa" w:w="3475"/>
            <w:vAlign w:val="top"/>
            <w:tcMar>
              <w:top w:w="65" w:type="dxa"/>
              <w:start w:w="65" w:type="dxa"/>
              <w:bottom w:w="65" w:type="dxa"/>
              <w:end w:w="65" w:type="dxa"/>
            </w:tcMar>
          </w:tcPr>
          <w:p>
            <w:pPr>
              <w:pStyle w:val="TableSmall"/>
            </w:pPr>
            <w:r>
              <w:rPr>
                <w:sz w:val="15"/>
              </w:rPr>
              <w:t>Diagnostic des tensions sociales ; prévention des conflits du travail ; organisation et encadrement des mouvements de grève.</w:t>
            </w:r>
          </w:p>
        </w:tc>
      </w:tr>
      <w:tr>
        <w:tc>
          <w:tcPr>
            <w:tcW w:type="dxa" w:w="3475"/>
            <w:vAlign w:val="top"/>
            <w:shd w:fill="F7F9FB"/>
            <w:tcMar>
              <w:top w:w="65" w:type="dxa"/>
              <w:start w:w="65" w:type="dxa"/>
              <w:bottom w:w="65" w:type="dxa"/>
              <w:end w:w="65" w:type="dxa"/>
            </w:tcMar>
          </w:tcPr>
          <w:p>
            <w:pPr>
              <w:pStyle w:val="TableSmall"/>
            </w:pPr>
            <w:r>
              <w:rPr>
                <w:sz w:val="15"/>
              </w:rPr>
              <w:t>06</w:t>
            </w:r>
          </w:p>
        </w:tc>
        <w:tc>
          <w:tcPr>
            <w:tcW w:type="dxa" w:w="3475"/>
            <w:vAlign w:val="top"/>
            <w:shd w:fill="F7F9FB"/>
            <w:tcMar>
              <w:top w:w="65" w:type="dxa"/>
              <w:start w:w="65" w:type="dxa"/>
              <w:bottom w:w="65" w:type="dxa"/>
              <w:end w:w="65" w:type="dxa"/>
            </w:tcMar>
          </w:tcPr>
          <w:p>
            <w:pPr>
              <w:pStyle w:val="TableSmall"/>
            </w:pPr>
            <w:r>
              <w:rPr>
                <w:sz w:val="15"/>
              </w:rPr>
              <w:t>Défense des Intérêts Matériels et Moraux</w:t>
            </w:r>
          </w:p>
        </w:tc>
        <w:tc>
          <w:tcPr>
            <w:tcW w:type="dxa" w:w="3475"/>
            <w:vAlign w:val="top"/>
            <w:shd w:fill="F7F9FB"/>
            <w:tcMar>
              <w:top w:w="65" w:type="dxa"/>
              <w:start w:w="65" w:type="dxa"/>
              <w:bottom w:w="65" w:type="dxa"/>
              <w:end w:w="65" w:type="dxa"/>
            </w:tcMar>
          </w:tcPr>
          <w:p>
            <w:pPr>
              <w:pStyle w:val="TableSmall"/>
            </w:pPr>
            <w:r>
              <w:rPr>
                <w:sz w:val="15"/>
              </w:rPr>
              <w:t>Conditions de travail et rémunération ; protection de l’emploi et sécurité professionnelle ; discriminations et harcèlements.</w:t>
            </w:r>
          </w:p>
        </w:tc>
      </w:tr>
      <w:tr>
        <w:tc>
          <w:tcPr>
            <w:tcW w:type="dxa" w:w="3475"/>
            <w:vAlign w:val="top"/>
            <w:tcMar>
              <w:top w:w="65" w:type="dxa"/>
              <w:start w:w="65" w:type="dxa"/>
              <w:bottom w:w="65" w:type="dxa"/>
              <w:end w:w="65" w:type="dxa"/>
            </w:tcMar>
          </w:tcPr>
          <w:p>
            <w:pPr>
              <w:pStyle w:val="TableSmall"/>
            </w:pPr>
            <w:r>
              <w:rPr>
                <w:sz w:val="15"/>
              </w:rPr>
              <w:t>07</w:t>
            </w:r>
          </w:p>
        </w:tc>
        <w:tc>
          <w:tcPr>
            <w:tcW w:type="dxa" w:w="3475"/>
            <w:vAlign w:val="top"/>
            <w:tcMar>
              <w:top w:w="65" w:type="dxa"/>
              <w:start w:w="65" w:type="dxa"/>
              <w:bottom w:w="65" w:type="dxa"/>
              <w:end w:w="65" w:type="dxa"/>
            </w:tcMar>
          </w:tcPr>
          <w:p>
            <w:pPr>
              <w:pStyle w:val="TableSmall"/>
            </w:pPr>
            <w:r>
              <w:rPr>
                <w:sz w:val="15"/>
              </w:rPr>
              <w:t>Protection de l’Outil de Production</w:t>
            </w:r>
          </w:p>
        </w:tc>
        <w:tc>
          <w:tcPr>
            <w:tcW w:type="dxa" w:w="3475"/>
            <w:vAlign w:val="top"/>
            <w:tcMar>
              <w:top w:w="65" w:type="dxa"/>
              <w:start w:w="65" w:type="dxa"/>
              <w:bottom w:w="65" w:type="dxa"/>
              <w:end w:w="65" w:type="dxa"/>
            </w:tcMar>
          </w:tcPr>
          <w:p>
            <w:pPr>
              <w:pStyle w:val="TableSmall"/>
            </w:pPr>
            <w:r>
              <w:rPr>
                <w:sz w:val="15"/>
              </w:rPr>
              <w:t>Enjeux économiques de l’entreprise ; sauvegarde de l’emploi ; restructurations et plans sociaux.</w:t>
            </w:r>
          </w:p>
        </w:tc>
      </w:tr>
      <w:tr>
        <w:tc>
          <w:tcPr>
            <w:tcW w:type="dxa" w:w="3475"/>
            <w:vAlign w:val="top"/>
            <w:shd w:fill="F7F9FB"/>
            <w:tcMar>
              <w:top w:w="65" w:type="dxa"/>
              <w:start w:w="65" w:type="dxa"/>
              <w:bottom w:w="65" w:type="dxa"/>
              <w:end w:w="65" w:type="dxa"/>
            </w:tcMar>
          </w:tcPr>
          <w:p>
            <w:pPr>
              <w:pStyle w:val="TableSmall"/>
            </w:pPr>
            <w:r>
              <w:rPr>
                <w:sz w:val="15"/>
              </w:rPr>
              <w:t>08</w:t>
            </w:r>
          </w:p>
        </w:tc>
        <w:tc>
          <w:tcPr>
            <w:tcW w:type="dxa" w:w="3475"/>
            <w:vAlign w:val="top"/>
            <w:shd w:fill="F7F9FB"/>
            <w:tcMar>
              <w:top w:w="65" w:type="dxa"/>
              <w:start w:w="65" w:type="dxa"/>
              <w:bottom w:w="65" w:type="dxa"/>
              <w:end w:w="65" w:type="dxa"/>
            </w:tcMar>
          </w:tcPr>
          <w:p>
            <w:pPr>
              <w:pStyle w:val="TableSmall"/>
            </w:pPr>
            <w:r>
              <w:rPr>
                <w:sz w:val="15"/>
              </w:rPr>
              <w:t>Leadership Syndical et Éthique</w:t>
            </w:r>
          </w:p>
        </w:tc>
        <w:tc>
          <w:tcPr>
            <w:tcW w:type="dxa" w:w="3475"/>
            <w:vAlign w:val="top"/>
            <w:shd w:fill="F7F9FB"/>
            <w:tcMar>
              <w:top w:w="65" w:type="dxa"/>
              <w:start w:w="65" w:type="dxa"/>
              <w:bottom w:w="65" w:type="dxa"/>
              <w:end w:w="65" w:type="dxa"/>
            </w:tcMar>
          </w:tcPr>
          <w:p>
            <w:pPr>
              <w:pStyle w:val="TableSmall"/>
            </w:pPr>
            <w:r>
              <w:rPr>
                <w:sz w:val="15"/>
              </w:rPr>
              <w:t>Posture du leader ; conflits internes et cohésion ; intégrité, déontologie et responsabilité.</w:t>
            </w:r>
          </w:p>
        </w:tc>
      </w:tr>
      <w:tr>
        <w:tc>
          <w:tcPr>
            <w:tcW w:type="dxa" w:w="3475"/>
            <w:vAlign w:val="top"/>
            <w:tcMar>
              <w:top w:w="65" w:type="dxa"/>
              <w:start w:w="65" w:type="dxa"/>
              <w:bottom w:w="65" w:type="dxa"/>
              <w:end w:w="65" w:type="dxa"/>
            </w:tcMar>
          </w:tcPr>
          <w:p>
            <w:pPr>
              <w:pStyle w:val="TableSmall"/>
            </w:pPr>
            <w:r>
              <w:rPr>
                <w:sz w:val="15"/>
              </w:rPr>
              <w:t>09</w:t>
            </w:r>
          </w:p>
        </w:tc>
        <w:tc>
          <w:tcPr>
            <w:tcW w:type="dxa" w:w="3475"/>
            <w:vAlign w:val="top"/>
            <w:tcMar>
              <w:top w:w="65" w:type="dxa"/>
              <w:start w:w="65" w:type="dxa"/>
              <w:bottom w:w="65" w:type="dxa"/>
              <w:end w:w="65" w:type="dxa"/>
            </w:tcMar>
          </w:tcPr>
          <w:p>
            <w:pPr>
              <w:pStyle w:val="TableSmall"/>
            </w:pPr>
            <w:r>
              <w:rPr>
                <w:sz w:val="15"/>
              </w:rPr>
              <w:t>Communication et Plaidoyer</w:t>
            </w:r>
          </w:p>
        </w:tc>
        <w:tc>
          <w:tcPr>
            <w:tcW w:type="dxa" w:w="3475"/>
            <w:vAlign w:val="top"/>
            <w:tcMar>
              <w:top w:w="65" w:type="dxa"/>
              <w:start w:w="65" w:type="dxa"/>
              <w:bottom w:w="65" w:type="dxa"/>
              <w:end w:w="65" w:type="dxa"/>
            </w:tcMar>
          </w:tcPr>
          <w:p>
            <w:pPr>
              <w:pStyle w:val="TableSmall"/>
            </w:pPr>
            <w:r>
              <w:rPr>
                <w:sz w:val="15"/>
              </w:rPr>
              <w:t>Prise de parole ; médias et communication numérique syndicale ; plaidoyer institutionnel.</w:t>
            </w:r>
          </w:p>
        </w:tc>
      </w:tr>
      <w:tr>
        <w:tc>
          <w:tcPr>
            <w:tcW w:type="dxa" w:w="3475"/>
            <w:vAlign w:val="top"/>
            <w:shd w:fill="F7F9FB"/>
            <w:tcMar>
              <w:top w:w="65" w:type="dxa"/>
              <w:start w:w="65" w:type="dxa"/>
              <w:bottom w:w="65" w:type="dxa"/>
              <w:end w:w="65" w:type="dxa"/>
            </w:tcMar>
          </w:tcPr>
          <w:p>
            <w:pPr>
              <w:pStyle w:val="TableSmall"/>
            </w:pPr>
            <w:r>
              <w:rPr>
                <w:sz w:val="15"/>
              </w:rPr>
              <w:t>10</w:t>
            </w:r>
          </w:p>
        </w:tc>
        <w:tc>
          <w:tcPr>
            <w:tcW w:type="dxa" w:w="3475"/>
            <w:vAlign w:val="top"/>
            <w:shd w:fill="F7F9FB"/>
            <w:tcMar>
              <w:top w:w="65" w:type="dxa"/>
              <w:start w:w="65" w:type="dxa"/>
              <w:bottom w:w="65" w:type="dxa"/>
              <w:end w:w="65" w:type="dxa"/>
            </w:tcMar>
          </w:tcPr>
          <w:p>
            <w:pPr>
              <w:pStyle w:val="TableSmall"/>
            </w:pPr>
            <w:r>
              <w:rPr>
                <w:sz w:val="15"/>
              </w:rPr>
              <w:t>Santé, Sécurité et Conditions de Travail (SSCT)</w:t>
            </w:r>
          </w:p>
        </w:tc>
        <w:tc>
          <w:tcPr>
            <w:tcW w:type="dxa" w:w="3475"/>
            <w:vAlign w:val="top"/>
            <w:shd w:fill="F7F9FB"/>
            <w:tcMar>
              <w:top w:w="65" w:type="dxa"/>
              <w:start w:w="65" w:type="dxa"/>
              <w:bottom w:w="65" w:type="dxa"/>
              <w:end w:w="65" w:type="dxa"/>
            </w:tcMar>
          </w:tcPr>
          <w:p>
            <w:pPr>
              <w:pStyle w:val="TableSmall"/>
            </w:pPr>
            <w:r>
              <w:rPr>
                <w:sz w:val="15"/>
              </w:rPr>
              <w:t>Prévention des risques professionnels ; rôle des délégués et CHSCT ; accidents du travail et maladies professionnelles.</w:t>
            </w:r>
          </w:p>
        </w:tc>
      </w:tr>
    </w:tbl>
    <w:p>
      <w:pPr>
        <w:spacing w:after="20"/>
      </w:pPr>
    </w:p>
    <w:p>
      <w:r>
        <w:t xml:space="preserve">Le LMS doit aussi mettre en valeur le triptyque fondateur présenté dans le programme : </w:t>
      </w:r>
      <w:r>
        <w:rPr>
          <w:b/>
        </w:rPr>
        <w:t>Protection de l’outil de production - Prévention des conflits sociaux - Défense des intérêts matériels et moraux des travailleurs</w:t>
      </w:r>
      <w:r>
        <w:t>.</w:t>
      </w:r>
    </w:p>
    <w:p>
      <w:pPr>
        <w:pStyle w:val="Heading1"/>
      </w:pPr>
      <w:r>
        <w:t>13. Modèle pédagogique</w:t>
      </w:r>
    </w:p>
    <w:p>
      <w:pPr>
        <w:pStyle w:val="ListBullet"/>
        <w:spacing w:after="40"/>
      </w:pPr>
      <w:r>
        <w:t xml:space="preserve">Structure recommandée : </w:t>
      </w:r>
      <w:r>
        <w:rPr>
          <w:b/>
        </w:rPr>
        <w:t>Cours -&gt; Version de cours -&gt; Modules -&gt; Leçons -&gt; Activités</w:t>
      </w:r>
      <w:r>
        <w:t>.</w:t>
      </w:r>
    </w:p>
    <w:p>
      <w:pPr>
        <w:pStyle w:val="ListBullet"/>
        <w:spacing w:after="40"/>
      </w:pPr>
      <w:r>
        <w:t>Chaque activité possède un type, des instructions, des conditions d’achèvement, une durée indicative et éventuellement une note.</w:t>
      </w:r>
    </w:p>
    <w:p>
      <w:pPr>
        <w:pStyle w:val="ListBullet"/>
        <w:spacing w:after="40"/>
      </w:pPr>
      <w:r>
        <w:t>Un cours peut être auto-inscrit, inscrit par validation, inscrit par organisation ou conditionné à un paiement/une prise en charge.</w:t>
      </w:r>
    </w:p>
    <w:p>
      <w:pPr>
        <w:pStyle w:val="ListBullet"/>
        <w:spacing w:after="40"/>
      </w:pPr>
      <w:r>
        <w:t>Chaque version de cours conserve ses règles de réussite pour assurer l’audit des cohortes passées.</w:t>
      </w:r>
    </w:p>
    <w:p>
      <w:pPr>
        <w:pStyle w:val="ListBullet"/>
        <w:spacing w:after="40"/>
      </w:pPr>
      <w:r>
        <w:t>Les activités synchrones stockent date, intervenant, lien de classe virtuelle, présence et replay éventuel.</w:t>
      </w:r>
    </w:p>
    <w:p>
      <w:pPr>
        <w:pStyle w:val="ListBullet"/>
        <w:spacing w:after="40"/>
      </w:pPr>
      <w:r>
        <w:t>Les ressources lourdes doivent avoir une alternative bas débit : audio, transcription, document ou résolution vidéo réduite quand pertinent.</w:t>
      </w:r>
    </w:p>
    <w:p>
      <w:pPr>
        <w:pStyle w:val="Heading2"/>
      </w:pPr>
      <w:r>
        <w:t>13.1 Types d’activités minimales</w:t>
      </w:r>
    </w:p>
    <w:p>
      <w:pPr>
        <w:pStyle w:val="ListBullet"/>
        <w:spacing w:after="40"/>
      </w:pPr>
      <w:r>
        <w:t>Contenu texte riche et tableaux ; fichiers PDF/Office ; liens ; audio ; vidéo ; présentation.</w:t>
      </w:r>
    </w:p>
    <w:p>
      <w:pPr>
        <w:pStyle w:val="ListBullet"/>
        <w:spacing w:after="40"/>
      </w:pPr>
      <w:r>
        <w:t>QCU, QCM, vrai/faux, texte à trous, appariement, classement/ordre, réponse courte, composition.</w:t>
      </w:r>
    </w:p>
    <w:p>
      <w:pPr>
        <w:pStyle w:val="ListBullet"/>
        <w:spacing w:after="40"/>
      </w:pPr>
      <w:r>
        <w:t>Devoir avec dépôt de fichier et/ou réponse texte.</w:t>
      </w:r>
    </w:p>
    <w:p>
      <w:pPr>
        <w:pStyle w:val="ListBullet"/>
        <w:spacing w:after="40"/>
      </w:pPr>
      <w:r>
        <w:t>Sondage, questionnaire de satisfaction et auto-évaluation.</w:t>
      </w:r>
    </w:p>
    <w:p>
      <w:pPr>
        <w:pStyle w:val="ListBullet"/>
        <w:spacing w:after="40"/>
      </w:pPr>
      <w:r>
        <w:t>Forum modéré.</w:t>
      </w:r>
    </w:p>
    <w:p>
      <w:pPr>
        <w:pStyle w:val="ListBullet"/>
        <w:spacing w:after="40"/>
      </w:pPr>
      <w:r>
        <w:t>Session synchrone / présentielle avec présence.</w:t>
      </w:r>
    </w:p>
    <w:p>
      <w:pPr>
        <w:pStyle w:val="ListBullet"/>
        <w:spacing w:after="40"/>
      </w:pPr>
      <w:r>
        <w:t>Contenu H5P ou équivalent ; SCORM/xAPI en phase d’interopérabilité.</w:t>
      </w:r>
    </w:p>
    <w:p>
      <w:pPr>
        <w:pStyle w:val="Heading1"/>
      </w:pPr>
      <w:r>
        <w:t>14. Workflow de demande institutionnelle</w:t>
      </w:r>
    </w:p>
    <w:p>
      <w:pPr>
        <w:spacing w:after="40"/>
        <w:ind w:left="312" w:hanging="312"/>
      </w:pPr>
      <w:r>
        <w:rPr>
          <w:b w:val="0"/>
        </w:rPr>
        <w:t xml:space="preserve">1. </w:t>
      </w:r>
      <w:r>
        <w:t>Le responsable d’organisation s’authentifie par le SSO ou initialise son accès.</w:t>
      </w:r>
    </w:p>
    <w:p>
      <w:pPr>
        <w:spacing w:after="40"/>
        <w:ind w:left="312" w:hanging="312"/>
      </w:pPr>
      <w:r>
        <w:rPr>
          <w:b w:val="0"/>
        </w:rPr>
        <w:t xml:space="preserve">2. </w:t>
      </w:r>
      <w:r>
        <w:t>Il sélectionne/valide son organisation, la personne ressource et les coordonnées.</w:t>
      </w:r>
    </w:p>
    <w:p>
      <w:pPr>
        <w:spacing w:after="40"/>
        <w:ind w:left="312" w:hanging="312"/>
      </w:pPr>
      <w:r>
        <w:rPr>
          <w:b w:val="0"/>
        </w:rPr>
        <w:t xml:space="preserve">3. </w:t>
      </w:r>
      <w:r>
        <w:t>Il choisit un ou plusieurs modules du catalogue.</w:t>
      </w:r>
    </w:p>
    <w:p>
      <w:pPr>
        <w:spacing w:after="40"/>
        <w:ind w:left="312" w:hanging="312"/>
      </w:pPr>
      <w:r>
        <w:rPr>
          <w:b w:val="0"/>
        </w:rPr>
        <w:t xml:space="preserve">4. </w:t>
      </w:r>
      <w:r>
        <w:t>Il désigne nominativement les cadres à former ; la limite de dix personnes du processus actuel devient un paramètre configurable.</w:t>
      </w:r>
    </w:p>
    <w:p>
      <w:pPr>
        <w:spacing w:after="40"/>
        <w:ind w:left="312" w:hanging="312"/>
      </w:pPr>
      <w:r>
        <w:rPr>
          <w:b w:val="0"/>
        </w:rPr>
        <w:t xml:space="preserve">5. </w:t>
      </w:r>
      <w:r>
        <w:t>Il accepte les engagements applicables et ajoute, si nécessaire, une pièce officielle.</w:t>
      </w:r>
    </w:p>
    <w:p>
      <w:pPr>
        <w:spacing w:after="40"/>
        <w:ind w:left="312" w:hanging="312"/>
      </w:pPr>
      <w:r>
        <w:rPr>
          <w:b w:val="0"/>
        </w:rPr>
        <w:t xml:space="preserve">6. </w:t>
      </w:r>
      <w:r>
        <w:t>Le coordinateur FETRAG reçoit la demande et peut demander un complément, accepter, refuser ou proposer une autre date/modalité.</w:t>
      </w:r>
    </w:p>
    <w:p>
      <w:pPr>
        <w:spacing w:after="40"/>
        <w:ind w:left="312" w:hanging="312"/>
      </w:pPr>
      <w:r>
        <w:rPr>
          <w:b w:val="0"/>
        </w:rPr>
        <w:t xml:space="preserve">7. </w:t>
      </w:r>
      <w:r>
        <w:t>Après validation, le système crée ou affecte une cohorte, inscrit les participants et envoie les convocations.</w:t>
      </w:r>
    </w:p>
    <w:p>
      <w:pPr>
        <w:spacing w:after="40"/>
        <w:ind w:left="312" w:hanging="312"/>
      </w:pPr>
      <w:r>
        <w:rPr>
          <w:b w:val="0"/>
        </w:rPr>
        <w:t xml:space="preserve">8. </w:t>
      </w:r>
      <w:r>
        <w:t>Les apprenants suivent les activités ; progression, notes et présences sont enregistrées.</w:t>
      </w:r>
    </w:p>
    <w:p>
      <w:pPr>
        <w:spacing w:after="40"/>
        <w:ind w:left="312" w:hanging="312"/>
      </w:pPr>
      <w:r>
        <w:rPr>
          <w:b w:val="0"/>
        </w:rPr>
        <w:t xml:space="preserve">9. </w:t>
      </w:r>
      <w:r>
        <w:t>Le coordinateur clôture la session, génère les certificats/attestations et le rapport d’organisation.</w:t>
      </w:r>
    </w:p>
    <w:p>
      <w:pPr>
        <w:spacing w:after="40"/>
        <w:ind w:left="312" w:hanging="312"/>
      </w:pPr>
      <w:r>
        <w:rPr>
          <w:b w:val="0"/>
        </w:rPr>
        <w:t xml:space="preserve">10. </w:t>
      </w:r>
      <w:r>
        <w:t>Demande, décisions, pièces, participants, résultats, certificats et paiements restent archivés et recherchables.</w:t>
      </w:r>
    </w:p>
    <w:p>
      <w:pPr>
        <w:pStyle w:val="Heading1"/>
      </w:pPr>
      <w:r>
        <w:t>15. Identité, SSO et autorisations</w:t>
      </w:r>
    </w:p>
    <w:p>
      <w:pPr>
        <w:pStyle w:val="ListBullet"/>
        <w:spacing w:after="40"/>
      </w:pPr>
      <w:r>
        <w:t>Le SSO doit utiliser OIDC/OAuth2. Les deux applications sont des clients du même fournisseur d’identité.</w:t>
      </w:r>
    </w:p>
    <w:p>
      <w:pPr>
        <w:pStyle w:val="ListBullet"/>
        <w:spacing w:after="40"/>
      </w:pPr>
      <w:r>
        <w:t xml:space="preserve">Le profil applicatif est indexé par le </w:t>
      </w:r>
      <w:r>
        <w:rPr>
          <w:rFonts w:ascii="Consolas" w:hAnsi="Consolas"/>
          <w:sz w:val="17"/>
        </w:rPr>
        <w:t>sub</w:t>
      </w:r>
      <w:r>
        <w:t xml:space="preserve"> OIDC ; ne pas dupliquer les mots de passe en base FETRAG.</w:t>
      </w:r>
    </w:p>
    <w:p>
      <w:pPr>
        <w:pStyle w:val="ListBullet"/>
        <w:spacing w:after="40"/>
      </w:pPr>
      <w:r>
        <w:t>MFA obligatoire pour super-administrateurs, administrateurs LMS, finance et autres rôles privilégiés définis au cadrage.</w:t>
      </w:r>
    </w:p>
    <w:p>
      <w:pPr>
        <w:pStyle w:val="ListBullet"/>
        <w:spacing w:after="40"/>
      </w:pPr>
      <w:r>
        <w:t>RBAC + scopes : global, organisation, cours, cohorte/session. Un rôle peut être limité dans le temps pour un expert invité.</w:t>
      </w:r>
    </w:p>
    <w:p>
      <w:pPr>
        <w:pStyle w:val="ListBullet"/>
        <w:spacing w:after="40"/>
      </w:pPr>
      <w:r>
        <w:t>Chaque requête API sensible vérifie l’identité, le rôle et la portée ; aucune confiance dans un simple état React côté client.</w:t>
      </w:r>
    </w:p>
    <w:p>
      <w:pPr>
        <w:pStyle w:val="ListBullet"/>
        <w:spacing w:after="40"/>
      </w:pPr>
      <w:r>
        <w:t>Les actions d’administration, notes, certificats et finance sont auditées.</w:t>
      </w:r>
    </w:p>
    <w:p>
      <w:pPr>
        <w:pStyle w:val="Heading1"/>
      </w:pPr>
      <w:r>
        <w:t>16. Modèle de données - domaines</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0B66B2"/>
            <w:vAlign w:val="center"/>
            <w:tcMar>
              <w:top w:w="70" w:type="dxa"/>
              <w:start w:w="70" w:type="dxa"/>
              <w:bottom w:w="70" w:type="dxa"/>
              <w:end w:w="70" w:type="dxa"/>
            </w:tcMar>
          </w:tcPr>
          <w:p>
            <w:pPr>
              <w:pStyle w:val="TableSmall"/>
            </w:pPr>
            <w:r>
              <w:rPr>
                <w:b/>
                <w:color w:val="FFFFFF"/>
                <w:sz w:val="15"/>
              </w:rPr>
              <w:t>Domaine</w:t>
            </w:r>
          </w:p>
        </w:tc>
        <w:tc>
          <w:tcPr>
            <w:tcW w:type="dxa" w:w="5213"/>
            <w:shd w:fill="0B66B2"/>
            <w:vAlign w:val="center"/>
            <w:tcMar>
              <w:top w:w="70" w:type="dxa"/>
              <w:start w:w="70" w:type="dxa"/>
              <w:bottom w:w="70" w:type="dxa"/>
              <w:end w:w="70" w:type="dxa"/>
            </w:tcMar>
          </w:tcPr>
          <w:p>
            <w:pPr>
              <w:pStyle w:val="TableSmall"/>
            </w:pPr>
            <w:r>
              <w:rPr>
                <w:b/>
                <w:color w:val="FFFFFF"/>
                <w:sz w:val="15"/>
              </w:rPr>
              <w:t>Entités principales</w:t>
            </w:r>
          </w:p>
        </w:tc>
      </w:tr>
      <w:tr>
        <w:tc>
          <w:tcPr>
            <w:tcW w:type="dxa" w:w="5213"/>
            <w:vAlign w:val="top"/>
            <w:tcMar>
              <w:top w:w="65" w:type="dxa"/>
              <w:start w:w="65" w:type="dxa"/>
              <w:bottom w:w="65" w:type="dxa"/>
              <w:end w:w="65" w:type="dxa"/>
            </w:tcMar>
          </w:tcPr>
          <w:p>
            <w:pPr>
              <w:pStyle w:val="TableSmall"/>
            </w:pPr>
            <w:r>
              <w:rPr>
                <w:sz w:val="15"/>
              </w:rPr>
              <w:t>Identity</w:t>
            </w:r>
          </w:p>
        </w:tc>
        <w:tc>
          <w:tcPr>
            <w:tcW w:type="dxa" w:w="5213"/>
            <w:vAlign w:val="top"/>
            <w:tcMar>
              <w:top w:w="65" w:type="dxa"/>
              <w:start w:w="65" w:type="dxa"/>
              <w:bottom w:w="65" w:type="dxa"/>
              <w:end w:w="65" w:type="dxa"/>
            </w:tcMar>
          </w:tcPr>
          <w:p>
            <w:pPr>
              <w:pStyle w:val="TableSmall"/>
            </w:pPr>
            <w:r>
              <w:rPr>
                <w:sz w:val="15"/>
              </w:rPr>
              <w:t>UserProfile, ExternalIdentityRef, RoleAssignment, Consent, NotificationPreference</w:t>
            </w:r>
          </w:p>
        </w:tc>
      </w:tr>
      <w:tr>
        <w:tc>
          <w:tcPr>
            <w:tcW w:type="dxa" w:w="5213"/>
            <w:vAlign w:val="top"/>
            <w:shd w:fill="F7F9FB"/>
            <w:tcMar>
              <w:top w:w="65" w:type="dxa"/>
              <w:start w:w="65" w:type="dxa"/>
              <w:bottom w:w="65" w:type="dxa"/>
              <w:end w:w="65" w:type="dxa"/>
            </w:tcMar>
          </w:tcPr>
          <w:p>
            <w:pPr>
              <w:pStyle w:val="TableSmall"/>
            </w:pPr>
            <w:r>
              <w:rPr>
                <w:sz w:val="15"/>
              </w:rPr>
              <w:t>Organizations</w:t>
            </w:r>
          </w:p>
        </w:tc>
        <w:tc>
          <w:tcPr>
            <w:tcW w:type="dxa" w:w="5213"/>
            <w:vAlign w:val="top"/>
            <w:shd w:fill="F7F9FB"/>
            <w:tcMar>
              <w:top w:w="65" w:type="dxa"/>
              <w:start w:w="65" w:type="dxa"/>
              <w:bottom w:w="65" w:type="dxa"/>
              <w:end w:w="65" w:type="dxa"/>
            </w:tcMar>
          </w:tcPr>
          <w:p>
            <w:pPr>
              <w:pStyle w:val="TableSmall"/>
            </w:pPr>
            <w:r>
              <w:rPr>
                <w:sz w:val="15"/>
              </w:rPr>
              <w:t>Organization, OrganizationMembership, OrganizationContact</w:t>
            </w:r>
          </w:p>
        </w:tc>
      </w:tr>
      <w:tr>
        <w:tc>
          <w:tcPr>
            <w:tcW w:type="dxa" w:w="5213"/>
            <w:vAlign w:val="top"/>
            <w:tcMar>
              <w:top w:w="65" w:type="dxa"/>
              <w:start w:w="65" w:type="dxa"/>
              <w:bottom w:w="65" w:type="dxa"/>
              <w:end w:w="65" w:type="dxa"/>
            </w:tcMar>
          </w:tcPr>
          <w:p>
            <w:pPr>
              <w:pStyle w:val="TableSmall"/>
            </w:pPr>
            <w:r>
              <w:rPr>
                <w:sz w:val="15"/>
              </w:rPr>
              <w:t>CMS</w:t>
            </w:r>
          </w:p>
        </w:tc>
        <w:tc>
          <w:tcPr>
            <w:tcW w:type="dxa" w:w="5213"/>
            <w:vAlign w:val="top"/>
            <w:tcMar>
              <w:top w:w="65" w:type="dxa"/>
              <w:start w:w="65" w:type="dxa"/>
              <w:bottom w:w="65" w:type="dxa"/>
              <w:end w:w="65" w:type="dxa"/>
            </w:tcMar>
          </w:tcPr>
          <w:p>
            <w:pPr>
              <w:pStyle w:val="TableSmall"/>
            </w:pPr>
            <w:r>
              <w:rPr>
                <w:sz w:val="15"/>
              </w:rPr>
              <w:t>Page, Article, Category, Partner, Service, ServiceRequest, Resource, MediaAsset, Menu, SEORecord</w:t>
            </w:r>
          </w:p>
        </w:tc>
      </w:tr>
      <w:tr>
        <w:tc>
          <w:tcPr>
            <w:tcW w:type="dxa" w:w="5213"/>
            <w:vAlign w:val="top"/>
            <w:shd w:fill="F7F9FB"/>
            <w:tcMar>
              <w:top w:w="65" w:type="dxa"/>
              <w:start w:w="65" w:type="dxa"/>
              <w:bottom w:w="65" w:type="dxa"/>
              <w:end w:w="65" w:type="dxa"/>
            </w:tcMar>
          </w:tcPr>
          <w:p>
            <w:pPr>
              <w:pStyle w:val="TableSmall"/>
            </w:pPr>
            <w:r>
              <w:rPr>
                <w:sz w:val="15"/>
              </w:rPr>
              <w:t>Training Catalog</w:t>
            </w:r>
          </w:p>
        </w:tc>
        <w:tc>
          <w:tcPr>
            <w:tcW w:type="dxa" w:w="5213"/>
            <w:vAlign w:val="top"/>
            <w:shd w:fill="F7F9FB"/>
            <w:tcMar>
              <w:top w:w="65" w:type="dxa"/>
              <w:start w:w="65" w:type="dxa"/>
              <w:bottom w:w="65" w:type="dxa"/>
              <w:end w:w="65" w:type="dxa"/>
            </w:tcMar>
          </w:tcPr>
          <w:p>
            <w:pPr>
              <w:pStyle w:val="TableSmall"/>
            </w:pPr>
            <w:r>
              <w:rPr>
                <w:sz w:val="15"/>
              </w:rPr>
              <w:t>Course, CourseVersion, CourseModule, Lesson, Activity, Prerequisite</w:t>
            </w:r>
          </w:p>
        </w:tc>
      </w:tr>
      <w:tr>
        <w:tc>
          <w:tcPr>
            <w:tcW w:type="dxa" w:w="5213"/>
            <w:vAlign w:val="top"/>
            <w:tcMar>
              <w:top w:w="65" w:type="dxa"/>
              <w:start w:w="65" w:type="dxa"/>
              <w:bottom w:w="65" w:type="dxa"/>
              <w:end w:w="65" w:type="dxa"/>
            </w:tcMar>
          </w:tcPr>
          <w:p>
            <w:pPr>
              <w:pStyle w:val="TableSmall"/>
            </w:pPr>
            <w:r>
              <w:rPr>
                <w:sz w:val="15"/>
              </w:rPr>
              <w:t>Learning</w:t>
            </w:r>
          </w:p>
        </w:tc>
        <w:tc>
          <w:tcPr>
            <w:tcW w:type="dxa" w:w="5213"/>
            <w:vAlign w:val="top"/>
            <w:tcMar>
              <w:top w:w="65" w:type="dxa"/>
              <w:start w:w="65" w:type="dxa"/>
              <w:bottom w:w="65" w:type="dxa"/>
              <w:end w:w="65" w:type="dxa"/>
            </w:tcMar>
          </w:tcPr>
          <w:p>
            <w:pPr>
              <w:pStyle w:val="TableSmall"/>
            </w:pPr>
            <w:r>
              <w:rPr>
                <w:sz w:val="15"/>
              </w:rPr>
              <w:t>Enrollment, Progress, ActivityCompletion, Quiz, Question, QuestionOption, Attempt, Answer, Assignment, Submission, Grade</w:t>
            </w:r>
          </w:p>
        </w:tc>
      </w:tr>
      <w:tr>
        <w:tc>
          <w:tcPr>
            <w:tcW w:type="dxa" w:w="5213"/>
            <w:vAlign w:val="top"/>
            <w:shd w:fill="F7F9FB"/>
            <w:tcMar>
              <w:top w:w="65" w:type="dxa"/>
              <w:start w:w="65" w:type="dxa"/>
              <w:bottom w:w="65" w:type="dxa"/>
              <w:end w:w="65" w:type="dxa"/>
            </w:tcMar>
          </w:tcPr>
          <w:p>
            <w:pPr>
              <w:pStyle w:val="TableSmall"/>
            </w:pPr>
            <w:r>
              <w:rPr>
                <w:sz w:val="15"/>
              </w:rPr>
              <w:t>Sessions</w:t>
            </w:r>
          </w:p>
        </w:tc>
        <w:tc>
          <w:tcPr>
            <w:tcW w:type="dxa" w:w="5213"/>
            <w:vAlign w:val="top"/>
            <w:shd w:fill="F7F9FB"/>
            <w:tcMar>
              <w:top w:w="65" w:type="dxa"/>
              <w:start w:w="65" w:type="dxa"/>
              <w:bottom w:w="65" w:type="dxa"/>
              <w:end w:w="65" w:type="dxa"/>
            </w:tcMar>
          </w:tcPr>
          <w:p>
            <w:pPr>
              <w:pStyle w:val="TableSmall"/>
            </w:pPr>
            <w:r>
              <w:rPr>
                <w:sz w:val="15"/>
              </w:rPr>
              <w:t>Cohort, CohortMember, TrainingSession, Attendance, LiveSession</w:t>
            </w:r>
          </w:p>
        </w:tc>
      </w:tr>
      <w:tr>
        <w:tc>
          <w:tcPr>
            <w:tcW w:type="dxa" w:w="5213"/>
            <w:vAlign w:val="top"/>
            <w:tcMar>
              <w:top w:w="65" w:type="dxa"/>
              <w:start w:w="65" w:type="dxa"/>
              <w:bottom w:w="65" w:type="dxa"/>
              <w:end w:w="65" w:type="dxa"/>
            </w:tcMar>
          </w:tcPr>
          <w:p>
            <w:pPr>
              <w:pStyle w:val="TableSmall"/>
            </w:pPr>
            <w:r>
              <w:rPr>
                <w:sz w:val="15"/>
              </w:rPr>
              <w:t>Institutional Workflow</w:t>
            </w:r>
          </w:p>
        </w:tc>
        <w:tc>
          <w:tcPr>
            <w:tcW w:type="dxa" w:w="5213"/>
            <w:vAlign w:val="top"/>
            <w:tcMar>
              <w:top w:w="65" w:type="dxa"/>
              <w:start w:w="65" w:type="dxa"/>
              <w:bottom w:w="65" w:type="dxa"/>
              <w:end w:w="65" w:type="dxa"/>
            </w:tcMar>
          </w:tcPr>
          <w:p>
            <w:pPr>
              <w:pStyle w:val="TableSmall"/>
            </w:pPr>
            <w:r>
              <w:rPr>
                <w:sz w:val="15"/>
              </w:rPr>
              <w:t>TrainingRequest, TrainingRequestModule, TrainingRequestParticipant, Attachment, DecisionHistory</w:t>
            </w:r>
          </w:p>
        </w:tc>
      </w:tr>
      <w:tr>
        <w:tc>
          <w:tcPr>
            <w:tcW w:type="dxa" w:w="5213"/>
            <w:vAlign w:val="top"/>
            <w:shd w:fill="F7F9FB"/>
            <w:tcMar>
              <w:top w:w="65" w:type="dxa"/>
              <w:start w:w="65" w:type="dxa"/>
              <w:bottom w:w="65" w:type="dxa"/>
              <w:end w:w="65" w:type="dxa"/>
            </w:tcMar>
          </w:tcPr>
          <w:p>
            <w:pPr>
              <w:pStyle w:val="TableSmall"/>
            </w:pPr>
            <w:r>
              <w:rPr>
                <w:sz w:val="15"/>
              </w:rPr>
              <w:t>Certification</w:t>
            </w:r>
          </w:p>
        </w:tc>
        <w:tc>
          <w:tcPr>
            <w:tcW w:type="dxa" w:w="5213"/>
            <w:vAlign w:val="top"/>
            <w:shd w:fill="F7F9FB"/>
            <w:tcMar>
              <w:top w:w="65" w:type="dxa"/>
              <w:start w:w="65" w:type="dxa"/>
              <w:bottom w:w="65" w:type="dxa"/>
              <w:end w:w="65" w:type="dxa"/>
            </w:tcMar>
          </w:tcPr>
          <w:p>
            <w:pPr>
              <w:pStyle w:val="TableSmall"/>
            </w:pPr>
            <w:r>
              <w:rPr>
                <w:sz w:val="15"/>
              </w:rPr>
              <w:t>CertificateTemplate, Certificate, CertificateVerificationEvent</w:t>
            </w:r>
          </w:p>
        </w:tc>
      </w:tr>
      <w:tr>
        <w:tc>
          <w:tcPr>
            <w:tcW w:type="dxa" w:w="5213"/>
            <w:vAlign w:val="top"/>
            <w:tcMar>
              <w:top w:w="65" w:type="dxa"/>
              <w:start w:w="65" w:type="dxa"/>
              <w:bottom w:w="65" w:type="dxa"/>
              <w:end w:w="65" w:type="dxa"/>
            </w:tcMar>
          </w:tcPr>
          <w:p>
            <w:pPr>
              <w:pStyle w:val="TableSmall"/>
            </w:pPr>
            <w:r>
              <w:rPr>
                <w:sz w:val="15"/>
              </w:rPr>
              <w:t>Commerce</w:t>
            </w:r>
          </w:p>
        </w:tc>
        <w:tc>
          <w:tcPr>
            <w:tcW w:type="dxa" w:w="5213"/>
            <w:vAlign w:val="top"/>
            <w:tcMar>
              <w:top w:w="65" w:type="dxa"/>
              <w:start w:w="65" w:type="dxa"/>
              <w:bottom w:w="65" w:type="dxa"/>
              <w:end w:w="65" w:type="dxa"/>
            </w:tcMar>
          </w:tcPr>
          <w:p>
            <w:pPr>
              <w:pStyle w:val="TableSmall"/>
            </w:pPr>
            <w:r>
              <w:rPr>
                <w:sz w:val="15"/>
              </w:rPr>
              <w:t>Offer, Order, OrderLine, Payment, Refund, Coupon, Sponsorship/Exemption, Receipt</w:t>
            </w:r>
          </w:p>
        </w:tc>
      </w:tr>
      <w:tr>
        <w:tc>
          <w:tcPr>
            <w:tcW w:type="dxa" w:w="5213"/>
            <w:vAlign w:val="top"/>
            <w:shd w:fill="F7F9FB"/>
            <w:tcMar>
              <w:top w:w="65" w:type="dxa"/>
              <w:start w:w="65" w:type="dxa"/>
              <w:bottom w:w="65" w:type="dxa"/>
              <w:end w:w="65" w:type="dxa"/>
            </w:tcMar>
          </w:tcPr>
          <w:p>
            <w:pPr>
              <w:pStyle w:val="TableSmall"/>
            </w:pPr>
            <w:r>
              <w:rPr>
                <w:sz w:val="15"/>
              </w:rPr>
              <w:t>Events</w:t>
            </w:r>
          </w:p>
        </w:tc>
        <w:tc>
          <w:tcPr>
            <w:tcW w:type="dxa" w:w="5213"/>
            <w:vAlign w:val="top"/>
            <w:shd w:fill="F7F9FB"/>
            <w:tcMar>
              <w:top w:w="65" w:type="dxa"/>
              <w:start w:w="65" w:type="dxa"/>
              <w:bottom w:w="65" w:type="dxa"/>
              <w:end w:w="65" w:type="dxa"/>
            </w:tcMar>
          </w:tcPr>
          <w:p>
            <w:pPr>
              <w:pStyle w:val="TableSmall"/>
            </w:pPr>
            <w:r>
              <w:rPr>
                <w:sz w:val="15"/>
              </w:rPr>
              <w:t>Event, EventRegistration, WaitingListEntry</w:t>
            </w:r>
          </w:p>
        </w:tc>
      </w:tr>
      <w:tr>
        <w:tc>
          <w:tcPr>
            <w:tcW w:type="dxa" w:w="5213"/>
            <w:vAlign w:val="top"/>
            <w:tcMar>
              <w:top w:w="65" w:type="dxa"/>
              <w:start w:w="65" w:type="dxa"/>
              <w:bottom w:w="65" w:type="dxa"/>
              <w:end w:w="65" w:type="dxa"/>
            </w:tcMar>
          </w:tcPr>
          <w:p>
            <w:pPr>
              <w:pStyle w:val="TableSmall"/>
            </w:pPr>
            <w:r>
              <w:rPr>
                <w:sz w:val="15"/>
              </w:rPr>
              <w:t>Communication</w:t>
            </w:r>
          </w:p>
        </w:tc>
        <w:tc>
          <w:tcPr>
            <w:tcW w:type="dxa" w:w="5213"/>
            <w:vAlign w:val="top"/>
            <w:tcMar>
              <w:top w:w="65" w:type="dxa"/>
              <w:start w:w="65" w:type="dxa"/>
              <w:bottom w:w="65" w:type="dxa"/>
              <w:end w:w="65" w:type="dxa"/>
            </w:tcMar>
          </w:tcPr>
          <w:p>
            <w:pPr>
              <w:pStyle w:val="TableSmall"/>
            </w:pPr>
            <w:r>
              <w:rPr>
                <w:sz w:val="15"/>
              </w:rPr>
              <w:t>Notification, EmailDelivery, Forum, ForumThread, ForumPost</w:t>
            </w:r>
          </w:p>
        </w:tc>
      </w:tr>
      <w:tr>
        <w:tc>
          <w:tcPr>
            <w:tcW w:type="dxa" w:w="5213"/>
            <w:vAlign w:val="top"/>
            <w:shd w:fill="F7F9FB"/>
            <w:tcMar>
              <w:top w:w="65" w:type="dxa"/>
              <w:start w:w="65" w:type="dxa"/>
              <w:bottom w:w="65" w:type="dxa"/>
              <w:end w:w="65" w:type="dxa"/>
            </w:tcMar>
          </w:tcPr>
          <w:p>
            <w:pPr>
              <w:pStyle w:val="TableSmall"/>
            </w:pPr>
            <w:r>
              <w:rPr>
                <w:sz w:val="15"/>
              </w:rPr>
              <w:t>Operations</w:t>
            </w:r>
          </w:p>
        </w:tc>
        <w:tc>
          <w:tcPr>
            <w:tcW w:type="dxa" w:w="5213"/>
            <w:vAlign w:val="top"/>
            <w:shd w:fill="F7F9FB"/>
            <w:tcMar>
              <w:top w:w="65" w:type="dxa"/>
              <w:start w:w="65" w:type="dxa"/>
              <w:bottom w:w="65" w:type="dxa"/>
              <w:end w:w="65" w:type="dxa"/>
            </w:tcMar>
          </w:tcPr>
          <w:p>
            <w:pPr>
              <w:pStyle w:val="TableSmall"/>
            </w:pPr>
            <w:r>
              <w:rPr>
                <w:sz w:val="15"/>
              </w:rPr>
              <w:t>AuditLog, WebhookEvent, BackgroundJob, SystemSetting</w:t>
            </w:r>
          </w:p>
        </w:tc>
      </w:tr>
    </w:tbl>
    <w:p>
      <w:pPr>
        <w:spacing w:after="20"/>
      </w:pPr>
    </w:p>
    <w:p>
      <w:pPr>
        <w:pStyle w:val="Heading2"/>
      </w:pPr>
      <w:r>
        <w:t>16.1 Principes de modélisation</w:t>
      </w:r>
    </w:p>
    <w:p>
      <w:pPr>
        <w:pStyle w:val="ListBullet"/>
        <w:spacing w:after="40"/>
      </w:pPr>
      <w:r>
        <w:t>Identifiants techniques stables (UUID/ULID) et slugs distincts pour les URL publiques.</w:t>
      </w:r>
    </w:p>
    <w:p>
      <w:pPr>
        <w:pStyle w:val="ListBullet"/>
        <w:spacing w:after="40"/>
      </w:pPr>
      <w:r>
        <w:t>Dates en UTC ; affichage dans le fuseau utilisateur.</w:t>
      </w:r>
    </w:p>
    <w:p>
      <w:pPr>
        <w:pStyle w:val="ListBullet"/>
        <w:spacing w:after="40"/>
      </w:pPr>
      <w:r>
        <w:t>Soft delete uniquement lorsque l’audit l’exige ; sinon suppression contrôlée selon politique de conservation.</w:t>
      </w:r>
    </w:p>
    <w:p>
      <w:pPr>
        <w:pStyle w:val="ListBullet"/>
        <w:spacing w:after="40"/>
      </w:pPr>
      <w:r>
        <w:t>Historisation des statuts importants : demandes, paiements, certificats, inscriptions.</w:t>
      </w:r>
    </w:p>
    <w:p>
      <w:pPr>
        <w:pStyle w:val="ListBullet"/>
        <w:spacing w:after="40"/>
      </w:pPr>
      <w:r>
        <w:t>Montants financiers stockés en unités entières de plus petite devise et accompagnés du code devise.</w:t>
      </w:r>
    </w:p>
    <w:p>
      <w:pPr>
        <w:pStyle w:val="ListBullet"/>
        <w:spacing w:after="40"/>
      </w:pPr>
      <w:r>
        <w:t xml:space="preserve">Les accès organisationnels doivent toujours être filtrés par </w:t>
      </w:r>
      <w:r>
        <w:rPr>
          <w:rFonts w:ascii="Consolas" w:hAnsi="Consolas"/>
          <w:sz w:val="17"/>
        </w:rPr>
        <w:t>organization_id</w:t>
      </w:r>
      <w:r>
        <w:t xml:space="preserve"> et couverts par tests d’autorisation.</w:t>
      </w:r>
    </w:p>
    <w:p>
      <w:pPr>
        <w:pStyle w:val="ListBullet"/>
        <w:spacing w:after="40"/>
      </w:pPr>
      <w:r>
        <w:t>Les cours utilisent une entité de version afin de figer les règles suivies par une cohorte.</w:t>
      </w:r>
    </w:p>
    <w:p>
      <w:pPr>
        <w:pStyle w:val="Heading1"/>
      </w:pPr>
      <w:r>
        <w:t>17. API et contrats</w:t>
      </w:r>
    </w:p>
    <w:p>
      <w:pPr>
        <w:pStyle w:val="ListBullet"/>
        <w:spacing w:after="40"/>
      </w:pPr>
      <w:r>
        <w:t xml:space="preserve">Préfixe </w:t>
      </w:r>
      <w:r>
        <w:rPr>
          <w:rFonts w:ascii="Consolas" w:hAnsi="Consolas"/>
          <w:sz w:val="17"/>
        </w:rPr>
        <w:t>/v1</w:t>
      </w:r>
      <w:r>
        <w:t>; endpoints documentés OpenAPI.</w:t>
      </w:r>
    </w:p>
    <w:p>
      <w:pPr>
        <w:pStyle w:val="ListBullet"/>
        <w:spacing w:after="40"/>
      </w:pPr>
      <w:r>
        <w:t xml:space="preserve">Schémas de requêtes/réponses et erreurs partagés dans </w:t>
      </w:r>
      <w:r>
        <w:rPr>
          <w:rFonts w:ascii="Consolas" w:hAnsi="Consolas"/>
          <w:sz w:val="17"/>
        </w:rPr>
        <w:t>packages/contracts</w:t>
      </w:r>
      <w:r>
        <w:t>.</w:t>
      </w:r>
    </w:p>
    <w:p>
      <w:pPr>
        <w:pStyle w:val="ListBullet"/>
        <w:spacing w:after="40"/>
      </w:pPr>
      <w:r>
        <w:t>Pagination par curseur ou page selon ressource ; filtres explicites ; tri whitelisté.</w:t>
      </w:r>
    </w:p>
    <w:p>
      <w:pPr>
        <w:pStyle w:val="ListBullet"/>
        <w:spacing w:after="40"/>
      </w:pPr>
      <w:r>
        <w:t>Idempotency-Key obligatoire pour création de paiement, webhook, certificat et opérations réessayables.</w:t>
      </w:r>
    </w:p>
    <w:p>
      <w:pPr>
        <w:pStyle w:val="ListBullet"/>
        <w:spacing w:after="40"/>
      </w:pPr>
      <w:r>
        <w:t>Webhooks externes signés et journalisés avant traitement.</w:t>
      </w:r>
    </w:p>
    <w:p>
      <w:pPr>
        <w:pStyle w:val="ListBullet"/>
        <w:spacing w:after="40"/>
      </w:pPr>
      <w:r>
        <w:t>Correlation ID propagé entre frontend, API, worker et logs.</w:t>
      </w:r>
    </w:p>
    <w:p>
      <w:pPr>
        <w:pStyle w:val="ListBullet"/>
        <w:spacing w:after="40"/>
      </w:pPr>
      <w:r>
        <w:t xml:space="preserve">Événements internes typés : </w:t>
      </w:r>
      <w:r>
        <w:rPr>
          <w:rFonts w:ascii="Consolas" w:hAnsi="Consolas"/>
          <w:sz w:val="17"/>
        </w:rPr>
        <w:t>training.request.approved</w:t>
      </w:r>
      <w:r>
        <w:t xml:space="preserve">, </w:t>
      </w:r>
      <w:r>
        <w:rPr>
          <w:rFonts w:ascii="Consolas" w:hAnsi="Consolas"/>
          <w:sz w:val="17"/>
        </w:rPr>
        <w:t>enrollment.created</w:t>
      </w:r>
      <w:r>
        <w:t xml:space="preserve">, </w:t>
      </w:r>
      <w:r>
        <w:rPr>
          <w:rFonts w:ascii="Consolas" w:hAnsi="Consolas"/>
          <w:sz w:val="17"/>
        </w:rPr>
        <w:t>payment.succeeded</w:t>
      </w:r>
      <w:r>
        <w:t xml:space="preserve">, </w:t>
      </w:r>
      <w:r>
        <w:rPr>
          <w:rFonts w:ascii="Consolas" w:hAnsi="Consolas"/>
          <w:sz w:val="17"/>
        </w:rPr>
        <w:t>course.completed</w:t>
      </w:r>
      <w:r>
        <w:t xml:space="preserve">, </w:t>
      </w:r>
      <w:r>
        <w:rPr>
          <w:rFonts w:ascii="Consolas" w:hAnsi="Consolas"/>
          <w:sz w:val="17"/>
        </w:rPr>
        <w:t>certificate.issued</w:t>
      </w:r>
      <w:r>
        <w:t>, etc.</w:t>
      </w:r>
    </w:p>
    <w:p>
      <w:pPr>
        <w:pStyle w:val="Heading1"/>
      </w:pPr>
      <w:r>
        <w:t>18. CMS et gouvernance éditoriale</w:t>
      </w:r>
    </w:p>
    <w:p>
      <w:pPr>
        <w:pStyle w:val="ListBullet"/>
        <w:spacing w:after="40"/>
      </w:pPr>
      <w:r>
        <w:t>Back-office intégré à la vitrine : pages, actualités, services, ressources, partenaires, événements, menus, SEO et médias.</w:t>
      </w:r>
    </w:p>
    <w:p>
      <w:pPr>
        <w:pStyle w:val="ListBullet"/>
        <w:spacing w:after="40"/>
      </w:pPr>
      <w:r>
        <w:t>Éditeur riche avec titres, listes, liens, tableaux, citations, images, fichiers et contenu structuré.</w:t>
      </w:r>
    </w:p>
    <w:p>
      <w:pPr>
        <w:pStyle w:val="ListBullet"/>
        <w:spacing w:after="40"/>
      </w:pPr>
      <w:r>
        <w:t>Statuts : brouillon -&gt; relecture -&gt; publié -&gt; archivé ; planification de publication souhaitée.</w:t>
      </w:r>
    </w:p>
    <w:p>
      <w:pPr>
        <w:pStyle w:val="ListBullet"/>
        <w:spacing w:after="40"/>
      </w:pPr>
      <w:r>
        <w:t>Prévisualisation avant publication.</w:t>
      </w:r>
    </w:p>
    <w:p>
      <w:pPr>
        <w:pStyle w:val="ListBullet"/>
        <w:spacing w:after="40"/>
      </w:pPr>
      <w:r>
        <w:t>Historique des versions au minimum pour les contenus sensibles.</w:t>
      </w:r>
    </w:p>
    <w:p>
      <w:pPr>
        <w:pStyle w:val="ListBullet"/>
        <w:spacing w:after="40"/>
      </w:pPr>
      <w:r>
        <w:t>Modèles de contenu : page institutionnelle, actualité, service, ressource, événement, FAQ et partenaire.</w:t>
      </w:r>
    </w:p>
    <w:p>
      <w:pPr>
        <w:pStyle w:val="ListBullet"/>
        <w:spacing w:after="40"/>
      </w:pPr>
      <w:r>
        <w:t>Les documents doivent porter catégorie, date, auteur/source, langue, niveau d’accès et mots-clés.</w:t>
      </w:r>
    </w:p>
    <w:p>
      <w:pPr>
        <w:pStyle w:val="Heading1"/>
      </w:pPr>
      <w:r>
        <w:t>19. Paiements et modèle économique</w:t>
      </w:r>
    </w:p>
    <w:p>
      <w:r>
        <w:t xml:space="preserve">Le domaine métier ne doit dépendre d’aucun PSP particulier. </w:t>
      </w:r>
      <w:r>
        <w:rPr>
          <w:rFonts w:ascii="Consolas" w:hAnsi="Consolas"/>
          <w:sz w:val="17"/>
        </w:rPr>
        <w:t>packages/payments</w:t>
      </w:r>
      <w:r>
        <w:t xml:space="preserve"> expose une interface stable (</w:t>
      </w:r>
      <w:r>
        <w:rPr>
          <w:rFonts w:ascii="Consolas" w:hAnsi="Consolas"/>
          <w:sz w:val="17"/>
        </w:rPr>
        <w:t>createPayment</w:t>
      </w:r>
      <w:r>
        <w:t xml:space="preserve">, </w:t>
      </w:r>
      <w:r>
        <w:rPr>
          <w:rFonts w:ascii="Consolas" w:hAnsi="Consolas"/>
          <w:sz w:val="17"/>
        </w:rPr>
        <w:t>getStatus</w:t>
      </w:r>
      <w:r>
        <w:t xml:space="preserve">, </w:t>
      </w:r>
      <w:r>
        <w:rPr>
          <w:rFonts w:ascii="Consolas" w:hAnsi="Consolas"/>
          <w:sz w:val="17"/>
        </w:rPr>
        <w:t>refund</w:t>
      </w:r>
      <w:r>
        <w:t xml:space="preserve">, </w:t>
      </w:r>
      <w:r>
        <w:rPr>
          <w:rFonts w:ascii="Consolas" w:hAnsi="Consolas"/>
          <w:sz w:val="17"/>
        </w:rPr>
        <w:t>handleWebhook</w:t>
      </w:r>
      <w:r>
        <w:t xml:space="preserve">, </w:t>
      </w:r>
      <w:r>
        <w:rPr>
          <w:rFonts w:ascii="Consolas" w:hAnsi="Consolas"/>
          <w:sz w:val="17"/>
        </w:rPr>
        <w:t>reconcile</w:t>
      </w:r>
      <w:r>
        <w:t>) et chaque fournisseur dispose d’un adaptateur. Le PSP exact est décidé au cadrage selon disponibilité au Gabon, API, coûts, conformité et qualité de service.</w:t>
      </w:r>
    </w:p>
    <w:p>
      <w:pPr>
        <w:pStyle w:val="ListBullet"/>
        <w:spacing w:after="40"/>
      </w:pPr>
      <w:r>
        <w:t>Paiements unitaires ; récurrence seulement si le PSP retenu la supporte et si la FETRAG la décide.</w:t>
      </w:r>
    </w:p>
    <w:p>
      <w:pPr>
        <w:pStyle w:val="ListBullet"/>
        <w:spacing w:after="40"/>
      </w:pPr>
      <w:r>
        <w:t>Mobile money, cartes et autres portefeuilles selon PSP.</w:t>
      </w:r>
    </w:p>
    <w:p>
      <w:pPr>
        <w:pStyle w:val="ListBullet"/>
        <w:spacing w:after="40"/>
      </w:pPr>
      <w:r>
        <w:t>Tarifs individuels, membres/non-membres, groupes, organisations, promotions.</w:t>
      </w:r>
    </w:p>
    <w:p>
      <w:pPr>
        <w:pStyle w:val="ListBullet"/>
        <w:spacing w:after="40"/>
      </w:pPr>
      <w:r>
        <w:t>Coupons, bourses, exonérations, prises en charge et sponsoring.</w:t>
      </w:r>
    </w:p>
    <w:p>
      <w:pPr>
        <w:pStyle w:val="ListBullet"/>
        <w:spacing w:after="40"/>
      </w:pPr>
      <w:r>
        <w:t>Reçus/factures numérotés selon règles validées.</w:t>
      </w:r>
    </w:p>
    <w:p>
      <w:pPr>
        <w:pStyle w:val="ListBullet"/>
        <w:spacing w:after="40"/>
      </w:pPr>
      <w:r>
        <w:t>Rapprochement, échecs, annulations, remboursements et litiges.</w:t>
      </w:r>
    </w:p>
    <w:p>
      <w:pPr>
        <w:pStyle w:val="ListBullet"/>
        <w:spacing w:after="40"/>
      </w:pPr>
      <w:r>
        <w:t>Traçabilité commande -&gt; paiement -&gt; bénéficiaire -&gt; service délivré.</w:t>
      </w:r>
    </w:p>
    <w:p>
      <w:pPr>
        <w:pStyle w:val="Heading1"/>
      </w:pPr>
      <w:r>
        <w:t>20. Notifications et communication</w:t>
      </w:r>
    </w:p>
    <w:p>
      <w:pPr>
        <w:pStyle w:val="ListBullet"/>
        <w:spacing w:after="40"/>
      </w:pPr>
      <w:r>
        <w:t>Canaux MVP : email + notifications internes.</w:t>
      </w:r>
    </w:p>
    <w:p>
      <w:pPr>
        <w:pStyle w:val="ListBullet"/>
        <w:spacing w:after="40"/>
      </w:pPr>
      <w:r>
        <w:t>SMS/WhatsApp sont des adaptateurs optionnels et ne doivent pas être requis pour faire fonctionner le cœur.</w:t>
      </w:r>
    </w:p>
    <w:p>
      <w:pPr>
        <w:pStyle w:val="ListBullet"/>
        <w:spacing w:after="40"/>
      </w:pPr>
      <w:r>
        <w:t>Templates versionnés et variables contrôlées.</w:t>
      </w:r>
    </w:p>
    <w:p>
      <w:pPr>
        <w:pStyle w:val="ListBullet"/>
        <w:spacing w:after="40"/>
      </w:pPr>
      <w:r>
        <w:t>Rappels : inscription, demande à compléter, validation, session imminente, devoir en retard, résultat, certificat.</w:t>
      </w:r>
    </w:p>
    <w:p>
      <w:pPr>
        <w:pStyle w:val="ListBullet"/>
        <w:spacing w:after="40"/>
      </w:pPr>
      <w:r>
        <w:t>Respect strict des préférences et consentements pour les communications non essentielles.</w:t>
      </w:r>
    </w:p>
    <w:p>
      <w:pPr>
        <w:pStyle w:val="ListBullet"/>
        <w:spacing w:after="40"/>
      </w:pPr>
      <w:r>
        <w:t>Envoi asynchrone avec retries ; état d’envoi visible pour le support.</w:t>
      </w:r>
    </w:p>
    <w:p>
      <w:pPr>
        <w:pStyle w:val="Heading1"/>
      </w:pPr>
      <w:r>
        <w:t>21. UX, design system et accessibilité</w:t>
      </w:r>
    </w:p>
    <w:p>
      <w:pPr>
        <w:pStyle w:val="ListBullet"/>
        <w:spacing w:after="40"/>
      </w:pPr>
      <w:r>
        <w:t xml:space="preserve">Design system inspiré du logo FETRAG : </w:t>
      </w:r>
      <w:r>
        <w:rPr>
          <w:b/>
        </w:rPr>
        <w:t>bleu</w:t>
      </w:r>
      <w:r>
        <w:t xml:space="preserve">, </w:t>
      </w:r>
      <w:r>
        <w:rPr>
          <w:b/>
        </w:rPr>
        <w:t>vert</w:t>
      </w:r>
      <w:r>
        <w:t xml:space="preserve"> et </w:t>
      </w:r>
      <w:r>
        <w:rPr>
          <w:b/>
        </w:rPr>
        <w:t>or</w:t>
      </w:r>
      <w:r>
        <w:t>, avec usage sobre sur fonds clairs et contrastes conformes.</w:t>
      </w:r>
    </w:p>
    <w:p>
      <w:pPr>
        <w:pStyle w:val="ListBullet"/>
        <w:spacing w:after="40"/>
      </w:pPr>
      <w:r>
        <w:t>Mobile-first réel : tous les écrans critiques conçus d’abord pour 360–430 px.</w:t>
      </w:r>
    </w:p>
    <w:p>
      <w:pPr>
        <w:pStyle w:val="ListBullet"/>
        <w:spacing w:after="40"/>
      </w:pPr>
      <w:r>
        <w:t>Navigation commune visuellement entre vitrine et LMS ; changement de sous-domaine explicite mais non perturbant.</w:t>
      </w:r>
    </w:p>
    <w:p>
      <w:pPr>
        <w:pStyle w:val="ListBullet"/>
        <w:spacing w:after="40"/>
      </w:pPr>
      <w:r>
        <w:t>Composants accessibles clavier, focus visible, labels explicites, messages d’erreur associés aux champs.</w:t>
      </w:r>
    </w:p>
    <w:p>
      <w:pPr>
        <w:pStyle w:val="ListBullet"/>
        <w:spacing w:after="40"/>
      </w:pPr>
      <w:r>
        <w:t>Objectif WCAG 2.2 niveau AA sur les parcours essentiels.</w:t>
      </w:r>
    </w:p>
    <w:p>
      <w:pPr>
        <w:pStyle w:val="ListBullet"/>
        <w:spacing w:after="40"/>
      </w:pPr>
      <w:r>
        <w:t>Pas de vidéo automatique ; images optimisées ; animations non essentielles désactivables.</w:t>
      </w:r>
    </w:p>
    <w:p>
      <w:pPr>
        <w:pStyle w:val="ListBullet"/>
        <w:spacing w:after="40"/>
      </w:pPr>
      <w:r>
        <w:t>Les dashboards doivent privilégier l’action et non la densité d’information.</w:t>
      </w:r>
    </w:p>
    <w:p>
      <w:pPr>
        <w:pStyle w:val="Heading1"/>
      </w:pPr>
      <w:r>
        <w:t>22. Bas débit, PWA et continuité d’apprentissage</w:t>
      </w:r>
    </w:p>
    <w:p>
      <w:pPr>
        <w:pStyle w:val="ListBullet"/>
        <w:spacing w:after="40"/>
      </w:pPr>
      <w:r>
        <w:t>Pages publiques SSR/SSG et cache CDN pour limiter les transferts.</w:t>
      </w:r>
    </w:p>
    <w:p>
      <w:pPr>
        <w:pStyle w:val="ListBullet"/>
        <w:spacing w:after="40"/>
      </w:pPr>
      <w:r>
        <w:t>Formats image AVIF/WebP si supportés et tailles responsives.</w:t>
      </w:r>
    </w:p>
    <w:p>
      <w:pPr>
        <w:pStyle w:val="ListBullet"/>
        <w:spacing w:after="40"/>
      </w:pPr>
      <w:r>
        <w:t>Chargement paresseux des médias lourds.</w:t>
      </w:r>
    </w:p>
    <w:p>
      <w:pPr>
        <w:pStyle w:val="ListBullet"/>
        <w:spacing w:after="40"/>
      </w:pPr>
      <w:r>
        <w:t>PWA installable au minimum pour le LMS si l’effort reste raisonnable.</w:t>
      </w:r>
    </w:p>
    <w:p>
      <w:pPr>
        <w:pStyle w:val="ListBullet"/>
        <w:spacing w:after="40"/>
      </w:pPr>
      <w:r>
        <w:t>Cache des assets et ressources explicitement marquées téléchargeables.</w:t>
      </w:r>
    </w:p>
    <w:p>
      <w:pPr>
        <w:pStyle w:val="ListBullet"/>
        <w:spacing w:after="40"/>
      </w:pPr>
      <w:r>
        <w:t>Les évaluations critiques nécessitant une validation serveur restent en ligne ; les brouillons peuvent être sauvegardés localement puis synchronisés.</w:t>
      </w:r>
    </w:p>
    <w:p>
      <w:pPr>
        <w:pStyle w:val="ListBullet"/>
        <w:spacing w:after="40"/>
      </w:pPr>
      <w:r>
        <w:t>Reprise idempotente de progression après perte de réseau.</w:t>
      </w:r>
    </w:p>
    <w:p>
      <w:pPr>
        <w:pStyle w:val="ListBullet"/>
        <w:spacing w:after="40"/>
      </w:pPr>
      <w:r>
        <w:t>Une alternative audio/transcription doit être prévue pour les vidéos pédagogiques principales lorsque possible.</w:t>
      </w:r>
    </w:p>
    <w:p>
      <w:pPr>
        <w:pStyle w:val="Heading1"/>
      </w:pPr>
      <w:r>
        <w:t>23. Sécurité et confidentialité</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3475"/>
            <w:shd w:fill="0B66B2"/>
            <w:vAlign w:val="center"/>
            <w:tcMar>
              <w:top w:w="70" w:type="dxa"/>
              <w:start w:w="70" w:type="dxa"/>
              <w:bottom w:w="70" w:type="dxa"/>
              <w:end w:w="70" w:type="dxa"/>
            </w:tcMar>
          </w:tcPr>
          <w:p>
            <w:pPr>
              <w:pStyle w:val="TableSmall"/>
            </w:pPr>
            <w:r>
              <w:rPr>
                <w:b/>
                <w:color w:val="FFFFFF"/>
                <w:sz w:val="15"/>
              </w:rPr>
              <w:t>ID</w:t>
            </w:r>
          </w:p>
        </w:tc>
        <w:tc>
          <w:tcPr>
            <w:tcW w:type="dxa" w:w="3475"/>
            <w:shd w:fill="0B66B2"/>
            <w:vAlign w:val="center"/>
            <w:tcMar>
              <w:top w:w="70" w:type="dxa"/>
              <w:start w:w="70" w:type="dxa"/>
              <w:bottom w:w="70" w:type="dxa"/>
              <w:end w:w="70" w:type="dxa"/>
            </w:tcMar>
          </w:tcPr>
          <w:p>
            <w:pPr>
              <w:pStyle w:val="TableSmall"/>
            </w:pPr>
            <w:r>
              <w:rPr>
                <w:b/>
                <w:color w:val="FFFFFF"/>
                <w:sz w:val="15"/>
              </w:rPr>
              <w:t>Priorité</w:t>
            </w:r>
          </w:p>
        </w:tc>
        <w:tc>
          <w:tcPr>
            <w:tcW w:type="dxa" w:w="3475"/>
            <w:shd w:fill="0B66B2"/>
            <w:vAlign w:val="center"/>
            <w:tcMar>
              <w:top w:w="70" w:type="dxa"/>
              <w:start w:w="70" w:type="dxa"/>
              <w:bottom w:w="70" w:type="dxa"/>
              <w:end w:w="70" w:type="dxa"/>
            </w:tcMar>
          </w:tcPr>
          <w:p>
            <w:pPr>
              <w:pStyle w:val="TableSmall"/>
            </w:pPr>
            <w:r>
              <w:rPr>
                <w:b/>
                <w:color w:val="FFFFFF"/>
                <w:sz w:val="15"/>
              </w:rPr>
              <w:t>Exigence</w:t>
            </w:r>
          </w:p>
        </w:tc>
      </w:tr>
      <w:tr>
        <w:tc>
          <w:tcPr>
            <w:tcW w:type="dxa" w:w="3475"/>
            <w:vAlign w:val="top"/>
            <w:tcMar>
              <w:top w:w="65" w:type="dxa"/>
              <w:start w:w="65" w:type="dxa"/>
              <w:bottom w:w="65" w:type="dxa"/>
              <w:end w:w="65" w:type="dxa"/>
            </w:tcMar>
          </w:tcPr>
          <w:p>
            <w:pPr>
              <w:pStyle w:val="TableSmall"/>
            </w:pPr>
            <w:r>
              <w:rPr>
                <w:sz w:val="15"/>
              </w:rPr>
              <w:t>SEC-01</w:t>
            </w:r>
          </w:p>
        </w:tc>
        <w:tc>
          <w:tcPr>
            <w:tcW w:type="dxa" w:w="3475"/>
            <w:vAlign w:val="top"/>
            <w:tcMar>
              <w:top w:w="65" w:type="dxa"/>
              <w:start w:w="65" w:type="dxa"/>
              <w:bottom w:w="65" w:type="dxa"/>
              <w:end w:w="65" w:type="dxa"/>
            </w:tcMar>
          </w:tcPr>
          <w:p>
            <w:pPr>
              <w:pStyle w:val="TableSmall"/>
            </w:pPr>
            <w:r>
              <w:rPr>
                <w:sz w:val="15"/>
              </w:rPr>
              <w:t>MUST</w:t>
            </w:r>
          </w:p>
        </w:tc>
        <w:tc>
          <w:tcPr>
            <w:tcW w:type="dxa" w:w="3475"/>
            <w:vAlign w:val="top"/>
            <w:tcMar>
              <w:top w:w="65" w:type="dxa"/>
              <w:start w:w="65" w:type="dxa"/>
              <w:bottom w:w="65" w:type="dxa"/>
              <w:end w:w="65" w:type="dxa"/>
            </w:tcMar>
          </w:tcPr>
          <w:p>
            <w:pPr>
              <w:pStyle w:val="TableSmall"/>
            </w:pPr>
            <w:r>
              <w:rPr>
                <w:sz w:val="15"/>
              </w:rPr>
              <w:t>TLS partout, HSTS, CSP, cookies Secure/HttpOnly/SameSite adaptés, protections CSRF et clickjacking.</w:t>
            </w:r>
          </w:p>
        </w:tc>
      </w:tr>
      <w:tr>
        <w:tc>
          <w:tcPr>
            <w:tcW w:type="dxa" w:w="3475"/>
            <w:vAlign w:val="top"/>
            <w:shd w:fill="F7F9FB"/>
            <w:tcMar>
              <w:top w:w="65" w:type="dxa"/>
              <w:start w:w="65" w:type="dxa"/>
              <w:bottom w:w="65" w:type="dxa"/>
              <w:end w:w="65" w:type="dxa"/>
            </w:tcMar>
          </w:tcPr>
          <w:p>
            <w:pPr>
              <w:pStyle w:val="TableSmall"/>
            </w:pPr>
            <w:r>
              <w:rPr>
                <w:sz w:val="15"/>
              </w:rPr>
              <w:t>SEC-02</w:t>
            </w:r>
          </w:p>
        </w:tc>
        <w:tc>
          <w:tcPr>
            <w:tcW w:type="dxa" w:w="3475"/>
            <w:vAlign w:val="top"/>
            <w:shd w:fill="F7F9FB"/>
            <w:tcMar>
              <w:top w:w="65" w:type="dxa"/>
              <w:start w:w="65" w:type="dxa"/>
              <w:bottom w:w="65" w:type="dxa"/>
              <w:end w:w="65" w:type="dxa"/>
            </w:tcMar>
          </w:tcPr>
          <w:p>
            <w:pPr>
              <w:pStyle w:val="TableSmall"/>
            </w:pPr>
            <w:r>
              <w:rPr>
                <w:sz w:val="15"/>
              </w:rPr>
              <w:t>MUST</w:t>
            </w:r>
          </w:p>
        </w:tc>
        <w:tc>
          <w:tcPr>
            <w:tcW w:type="dxa" w:w="3475"/>
            <w:vAlign w:val="top"/>
            <w:shd w:fill="F7F9FB"/>
            <w:tcMar>
              <w:top w:w="65" w:type="dxa"/>
              <w:start w:w="65" w:type="dxa"/>
              <w:bottom w:w="65" w:type="dxa"/>
              <w:end w:w="65" w:type="dxa"/>
            </w:tcMar>
          </w:tcPr>
          <w:p>
            <w:pPr>
              <w:pStyle w:val="TableSmall"/>
            </w:pPr>
            <w:r>
              <w:rPr>
                <w:sz w:val="15"/>
              </w:rPr>
              <w:t>MFA obligatoire pour administrateurs et rôles privilégiés via l’IdP.</w:t>
            </w:r>
          </w:p>
        </w:tc>
      </w:tr>
      <w:tr>
        <w:tc>
          <w:tcPr>
            <w:tcW w:type="dxa" w:w="3475"/>
            <w:vAlign w:val="top"/>
            <w:tcMar>
              <w:top w:w="65" w:type="dxa"/>
              <w:start w:w="65" w:type="dxa"/>
              <w:bottom w:w="65" w:type="dxa"/>
              <w:end w:w="65" w:type="dxa"/>
            </w:tcMar>
          </w:tcPr>
          <w:p>
            <w:pPr>
              <w:pStyle w:val="TableSmall"/>
            </w:pPr>
            <w:r>
              <w:rPr>
                <w:sz w:val="15"/>
              </w:rPr>
              <w:t>SEC-03</w:t>
            </w:r>
          </w:p>
        </w:tc>
        <w:tc>
          <w:tcPr>
            <w:tcW w:type="dxa" w:w="3475"/>
            <w:vAlign w:val="top"/>
            <w:tcMar>
              <w:top w:w="65" w:type="dxa"/>
              <w:start w:w="65" w:type="dxa"/>
              <w:bottom w:w="65" w:type="dxa"/>
              <w:end w:w="65" w:type="dxa"/>
            </w:tcMar>
          </w:tcPr>
          <w:p>
            <w:pPr>
              <w:pStyle w:val="TableSmall"/>
            </w:pPr>
            <w:r>
              <w:rPr>
                <w:sz w:val="15"/>
              </w:rPr>
              <w:t>MUST</w:t>
            </w:r>
          </w:p>
        </w:tc>
        <w:tc>
          <w:tcPr>
            <w:tcW w:type="dxa" w:w="3475"/>
            <w:vAlign w:val="top"/>
            <w:tcMar>
              <w:top w:w="65" w:type="dxa"/>
              <w:start w:w="65" w:type="dxa"/>
              <w:bottom w:w="65" w:type="dxa"/>
              <w:end w:w="65" w:type="dxa"/>
            </w:tcMar>
          </w:tcPr>
          <w:p>
            <w:pPr>
              <w:pStyle w:val="TableSmall"/>
            </w:pPr>
            <w:r>
              <w:rPr>
                <w:sz w:val="15"/>
              </w:rPr>
              <w:t>Validation stricte des entrées côté serveur, contrôle MIME/taille des uploads, antivirus recommandé pour pièces externes.</w:t>
            </w:r>
          </w:p>
        </w:tc>
      </w:tr>
      <w:tr>
        <w:tc>
          <w:tcPr>
            <w:tcW w:type="dxa" w:w="3475"/>
            <w:vAlign w:val="top"/>
            <w:shd w:fill="F7F9FB"/>
            <w:tcMar>
              <w:top w:w="65" w:type="dxa"/>
              <w:start w:w="65" w:type="dxa"/>
              <w:bottom w:w="65" w:type="dxa"/>
              <w:end w:w="65" w:type="dxa"/>
            </w:tcMar>
          </w:tcPr>
          <w:p>
            <w:pPr>
              <w:pStyle w:val="TableSmall"/>
            </w:pPr>
            <w:r>
              <w:rPr>
                <w:sz w:val="15"/>
              </w:rPr>
              <w:t>SEC-04</w:t>
            </w:r>
          </w:p>
        </w:tc>
        <w:tc>
          <w:tcPr>
            <w:tcW w:type="dxa" w:w="3475"/>
            <w:vAlign w:val="top"/>
            <w:shd w:fill="F7F9FB"/>
            <w:tcMar>
              <w:top w:w="65" w:type="dxa"/>
              <w:start w:w="65" w:type="dxa"/>
              <w:bottom w:w="65" w:type="dxa"/>
              <w:end w:w="65" w:type="dxa"/>
            </w:tcMar>
          </w:tcPr>
          <w:p>
            <w:pPr>
              <w:pStyle w:val="TableSmall"/>
            </w:pPr>
            <w:r>
              <w:rPr>
                <w:sz w:val="15"/>
              </w:rPr>
              <w:t>MUST</w:t>
            </w:r>
          </w:p>
        </w:tc>
        <w:tc>
          <w:tcPr>
            <w:tcW w:type="dxa" w:w="3475"/>
            <w:vAlign w:val="top"/>
            <w:shd w:fill="F7F9FB"/>
            <w:tcMar>
              <w:top w:w="65" w:type="dxa"/>
              <w:start w:w="65" w:type="dxa"/>
              <w:bottom w:w="65" w:type="dxa"/>
              <w:end w:w="65" w:type="dxa"/>
            </w:tcMar>
          </w:tcPr>
          <w:p>
            <w:pPr>
              <w:pStyle w:val="TableSmall"/>
            </w:pPr>
            <w:r>
              <w:rPr>
                <w:sz w:val="15"/>
              </w:rPr>
              <w:t>Rate limiting pour authentification, formulaires, recherche, certificats, paiements et API sensibles.</w:t>
            </w:r>
          </w:p>
        </w:tc>
      </w:tr>
      <w:tr>
        <w:tc>
          <w:tcPr>
            <w:tcW w:type="dxa" w:w="3475"/>
            <w:vAlign w:val="top"/>
            <w:tcMar>
              <w:top w:w="65" w:type="dxa"/>
              <w:start w:w="65" w:type="dxa"/>
              <w:bottom w:w="65" w:type="dxa"/>
              <w:end w:w="65" w:type="dxa"/>
            </w:tcMar>
          </w:tcPr>
          <w:p>
            <w:pPr>
              <w:pStyle w:val="TableSmall"/>
            </w:pPr>
            <w:r>
              <w:rPr>
                <w:sz w:val="15"/>
              </w:rPr>
              <w:t>SEC-05</w:t>
            </w:r>
          </w:p>
        </w:tc>
        <w:tc>
          <w:tcPr>
            <w:tcW w:type="dxa" w:w="3475"/>
            <w:vAlign w:val="top"/>
            <w:tcMar>
              <w:top w:w="65" w:type="dxa"/>
              <w:start w:w="65" w:type="dxa"/>
              <w:bottom w:w="65" w:type="dxa"/>
              <w:end w:w="65" w:type="dxa"/>
            </w:tcMar>
          </w:tcPr>
          <w:p>
            <w:pPr>
              <w:pStyle w:val="TableSmall"/>
            </w:pPr>
            <w:r>
              <w:rPr>
                <w:sz w:val="15"/>
              </w:rPr>
              <w:t>MUST</w:t>
            </w:r>
          </w:p>
        </w:tc>
        <w:tc>
          <w:tcPr>
            <w:tcW w:type="dxa" w:w="3475"/>
            <w:vAlign w:val="top"/>
            <w:tcMar>
              <w:top w:w="65" w:type="dxa"/>
              <w:start w:w="65" w:type="dxa"/>
              <w:bottom w:w="65" w:type="dxa"/>
              <w:end w:w="65" w:type="dxa"/>
            </w:tcMar>
          </w:tcPr>
          <w:p>
            <w:pPr>
              <w:pStyle w:val="TableSmall"/>
            </w:pPr>
            <w:r>
              <w:rPr>
                <w:sz w:val="15"/>
              </w:rPr>
              <w:t>Secrets hors dépôt : variables chiffrées/secret manager ; rotation documentée.</w:t>
            </w:r>
          </w:p>
        </w:tc>
      </w:tr>
      <w:tr>
        <w:tc>
          <w:tcPr>
            <w:tcW w:type="dxa" w:w="3475"/>
            <w:vAlign w:val="top"/>
            <w:shd w:fill="F7F9FB"/>
            <w:tcMar>
              <w:top w:w="65" w:type="dxa"/>
              <w:start w:w="65" w:type="dxa"/>
              <w:bottom w:w="65" w:type="dxa"/>
              <w:end w:w="65" w:type="dxa"/>
            </w:tcMar>
          </w:tcPr>
          <w:p>
            <w:pPr>
              <w:pStyle w:val="TableSmall"/>
            </w:pPr>
            <w:r>
              <w:rPr>
                <w:sz w:val="15"/>
              </w:rPr>
              <w:t>SEC-06</w:t>
            </w:r>
          </w:p>
        </w:tc>
        <w:tc>
          <w:tcPr>
            <w:tcW w:type="dxa" w:w="3475"/>
            <w:vAlign w:val="top"/>
            <w:shd w:fill="F7F9FB"/>
            <w:tcMar>
              <w:top w:w="65" w:type="dxa"/>
              <w:start w:w="65" w:type="dxa"/>
              <w:bottom w:w="65" w:type="dxa"/>
              <w:end w:w="65" w:type="dxa"/>
            </w:tcMar>
          </w:tcPr>
          <w:p>
            <w:pPr>
              <w:pStyle w:val="TableSmall"/>
            </w:pPr>
            <w:r>
              <w:rPr>
                <w:sz w:val="15"/>
              </w:rPr>
              <w:t>MUST</w:t>
            </w:r>
          </w:p>
        </w:tc>
        <w:tc>
          <w:tcPr>
            <w:tcW w:type="dxa" w:w="3475"/>
            <w:vAlign w:val="top"/>
            <w:shd w:fill="F7F9FB"/>
            <w:tcMar>
              <w:top w:w="65" w:type="dxa"/>
              <w:start w:w="65" w:type="dxa"/>
              <w:bottom w:w="65" w:type="dxa"/>
              <w:end w:w="65" w:type="dxa"/>
            </w:tcMar>
          </w:tcPr>
          <w:p>
            <w:pPr>
              <w:pStyle w:val="TableSmall"/>
            </w:pPr>
            <w:r>
              <w:rPr>
                <w:sz w:val="15"/>
              </w:rPr>
              <w:t>Dépendances auditées, SAST, scans de conteneur et correction des vulnérabilités critiques avant production.</w:t>
            </w:r>
          </w:p>
        </w:tc>
      </w:tr>
      <w:tr>
        <w:tc>
          <w:tcPr>
            <w:tcW w:type="dxa" w:w="3475"/>
            <w:vAlign w:val="top"/>
            <w:tcMar>
              <w:top w:w="65" w:type="dxa"/>
              <w:start w:w="65" w:type="dxa"/>
              <w:bottom w:w="65" w:type="dxa"/>
              <w:end w:w="65" w:type="dxa"/>
            </w:tcMar>
          </w:tcPr>
          <w:p>
            <w:pPr>
              <w:pStyle w:val="TableSmall"/>
            </w:pPr>
            <w:r>
              <w:rPr>
                <w:sz w:val="15"/>
              </w:rPr>
              <w:t>SEC-07</w:t>
            </w:r>
          </w:p>
        </w:tc>
        <w:tc>
          <w:tcPr>
            <w:tcW w:type="dxa" w:w="3475"/>
            <w:vAlign w:val="top"/>
            <w:tcMar>
              <w:top w:w="65" w:type="dxa"/>
              <w:start w:w="65" w:type="dxa"/>
              <w:bottom w:w="65" w:type="dxa"/>
              <w:end w:w="65" w:type="dxa"/>
            </w:tcMar>
          </w:tcPr>
          <w:p>
            <w:pPr>
              <w:pStyle w:val="TableSmall"/>
            </w:pPr>
            <w:r>
              <w:rPr>
                <w:sz w:val="15"/>
              </w:rPr>
              <w:t>MUST</w:t>
            </w:r>
          </w:p>
        </w:tc>
        <w:tc>
          <w:tcPr>
            <w:tcW w:type="dxa" w:w="3475"/>
            <w:vAlign w:val="top"/>
            <w:tcMar>
              <w:top w:w="65" w:type="dxa"/>
              <w:start w:w="65" w:type="dxa"/>
              <w:bottom w:w="65" w:type="dxa"/>
              <w:end w:w="65" w:type="dxa"/>
            </w:tcMar>
          </w:tcPr>
          <w:p>
            <w:pPr>
              <w:pStyle w:val="TableSmall"/>
            </w:pPr>
            <w:r>
              <w:rPr>
                <w:sz w:val="15"/>
              </w:rPr>
              <w:t>Sauvegardes automatiques de la base et des contenus, restauration testée.</w:t>
            </w:r>
          </w:p>
        </w:tc>
      </w:tr>
      <w:tr>
        <w:tc>
          <w:tcPr>
            <w:tcW w:type="dxa" w:w="3475"/>
            <w:vAlign w:val="top"/>
            <w:shd w:fill="F7F9FB"/>
            <w:tcMar>
              <w:top w:w="65" w:type="dxa"/>
              <w:start w:w="65" w:type="dxa"/>
              <w:bottom w:w="65" w:type="dxa"/>
              <w:end w:w="65" w:type="dxa"/>
            </w:tcMar>
          </w:tcPr>
          <w:p>
            <w:pPr>
              <w:pStyle w:val="TableSmall"/>
            </w:pPr>
            <w:r>
              <w:rPr>
                <w:sz w:val="15"/>
              </w:rPr>
              <w:t>SEC-08</w:t>
            </w:r>
          </w:p>
        </w:tc>
        <w:tc>
          <w:tcPr>
            <w:tcW w:type="dxa" w:w="3475"/>
            <w:vAlign w:val="top"/>
            <w:shd w:fill="F7F9FB"/>
            <w:tcMar>
              <w:top w:w="65" w:type="dxa"/>
              <w:start w:w="65" w:type="dxa"/>
              <w:bottom w:w="65" w:type="dxa"/>
              <w:end w:w="65" w:type="dxa"/>
            </w:tcMar>
          </w:tcPr>
          <w:p>
            <w:pPr>
              <w:pStyle w:val="TableSmall"/>
            </w:pPr>
            <w:r>
              <w:rPr>
                <w:sz w:val="15"/>
              </w:rPr>
              <w:t>MUST</w:t>
            </w:r>
          </w:p>
        </w:tc>
        <w:tc>
          <w:tcPr>
            <w:tcW w:type="dxa" w:w="3475"/>
            <w:vAlign w:val="top"/>
            <w:shd w:fill="F7F9FB"/>
            <w:tcMar>
              <w:top w:w="65" w:type="dxa"/>
              <w:start w:w="65" w:type="dxa"/>
              <w:bottom w:w="65" w:type="dxa"/>
              <w:end w:w="65" w:type="dxa"/>
            </w:tcMar>
          </w:tcPr>
          <w:p>
            <w:pPr>
              <w:pStyle w:val="TableSmall"/>
            </w:pPr>
            <w:r>
              <w:rPr>
                <w:sz w:val="15"/>
              </w:rPr>
              <w:t>Principe du moindre privilège pour base, stockage, CI/CD et comptes d’exploitation.</w:t>
            </w:r>
          </w:p>
        </w:tc>
      </w:tr>
      <w:tr>
        <w:tc>
          <w:tcPr>
            <w:tcW w:type="dxa" w:w="3475"/>
            <w:vAlign w:val="top"/>
            <w:tcMar>
              <w:top w:w="65" w:type="dxa"/>
              <w:start w:w="65" w:type="dxa"/>
              <w:bottom w:w="65" w:type="dxa"/>
              <w:end w:w="65" w:type="dxa"/>
            </w:tcMar>
          </w:tcPr>
          <w:p>
            <w:pPr>
              <w:pStyle w:val="TableSmall"/>
            </w:pPr>
            <w:r>
              <w:rPr>
                <w:sz w:val="15"/>
              </w:rPr>
              <w:t>SEC-09</w:t>
            </w:r>
          </w:p>
        </w:tc>
        <w:tc>
          <w:tcPr>
            <w:tcW w:type="dxa" w:w="3475"/>
            <w:vAlign w:val="top"/>
            <w:tcMar>
              <w:top w:w="65" w:type="dxa"/>
              <w:start w:w="65" w:type="dxa"/>
              <w:bottom w:w="65" w:type="dxa"/>
              <w:end w:w="65" w:type="dxa"/>
            </w:tcMar>
          </w:tcPr>
          <w:p>
            <w:pPr>
              <w:pStyle w:val="TableSmall"/>
            </w:pPr>
            <w:r>
              <w:rPr>
                <w:sz w:val="15"/>
              </w:rPr>
              <w:t>MUST</w:t>
            </w:r>
          </w:p>
        </w:tc>
        <w:tc>
          <w:tcPr>
            <w:tcW w:type="dxa" w:w="3475"/>
            <w:vAlign w:val="top"/>
            <w:tcMar>
              <w:top w:w="65" w:type="dxa"/>
              <w:start w:w="65" w:type="dxa"/>
              <w:bottom w:w="65" w:type="dxa"/>
              <w:end w:w="65" w:type="dxa"/>
            </w:tcMar>
          </w:tcPr>
          <w:p>
            <w:pPr>
              <w:pStyle w:val="TableSmall"/>
            </w:pPr>
            <w:r>
              <w:rPr>
                <w:sz w:val="15"/>
              </w:rPr>
              <w:t>Aucune donnée personnelle sensible inutile dans les logs, traces ou analytics.</w:t>
            </w:r>
          </w:p>
        </w:tc>
      </w:tr>
      <w:tr>
        <w:tc>
          <w:tcPr>
            <w:tcW w:type="dxa" w:w="3475"/>
            <w:vAlign w:val="top"/>
            <w:shd w:fill="F7F9FB"/>
            <w:tcMar>
              <w:top w:w="65" w:type="dxa"/>
              <w:start w:w="65" w:type="dxa"/>
              <w:bottom w:w="65" w:type="dxa"/>
              <w:end w:w="65" w:type="dxa"/>
            </w:tcMar>
          </w:tcPr>
          <w:p>
            <w:pPr>
              <w:pStyle w:val="TableSmall"/>
            </w:pPr>
            <w:r>
              <w:rPr>
                <w:sz w:val="15"/>
              </w:rPr>
              <w:t>SEC-10</w:t>
            </w:r>
          </w:p>
        </w:tc>
        <w:tc>
          <w:tcPr>
            <w:tcW w:type="dxa" w:w="3475"/>
            <w:vAlign w:val="top"/>
            <w:shd w:fill="F7F9FB"/>
            <w:tcMar>
              <w:top w:w="65" w:type="dxa"/>
              <w:start w:w="65" w:type="dxa"/>
              <w:bottom w:w="65" w:type="dxa"/>
              <w:end w:w="65" w:type="dxa"/>
            </w:tcMar>
          </w:tcPr>
          <w:p>
            <w:pPr>
              <w:pStyle w:val="TableSmall"/>
            </w:pPr>
            <w:r>
              <w:rPr>
                <w:sz w:val="15"/>
              </w:rPr>
              <w:t>SHOULD</w:t>
            </w:r>
          </w:p>
        </w:tc>
        <w:tc>
          <w:tcPr>
            <w:tcW w:type="dxa" w:w="3475"/>
            <w:vAlign w:val="top"/>
            <w:shd w:fill="F7F9FB"/>
            <w:tcMar>
              <w:top w:w="65" w:type="dxa"/>
              <w:start w:w="65" w:type="dxa"/>
              <w:bottom w:w="65" w:type="dxa"/>
              <w:end w:w="65" w:type="dxa"/>
            </w:tcMar>
          </w:tcPr>
          <w:p>
            <w:pPr>
              <w:pStyle w:val="TableSmall"/>
            </w:pPr>
            <w:r>
              <w:rPr>
                <w:sz w:val="15"/>
              </w:rPr>
              <w:t>Revue de sécurité indépendante avant go-live ou après changement majeur.</w:t>
            </w:r>
          </w:p>
        </w:tc>
      </w:tr>
    </w:tbl>
    <w:p>
      <w:pPr>
        <w:spacing w:after="20"/>
      </w:pPr>
    </w:p>
    <w:p>
      <w:r>
        <w:t>Le projet devra faire valider par un conseil compétent les mentions légales, règles de conservation, droits des personnes, politique cookies et exigences spécifiques au droit gabonais. Le présent cahier des charges ne présume pas du texte juridique exact applicable.</w:t>
      </w:r>
    </w:p>
    <w:p>
      <w:pPr>
        <w:pStyle w:val="Heading1"/>
      </w:pPr>
      <w:r>
        <w:t>24. Performance et qualité de service - cibles proposées</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0B66B2"/>
            <w:vAlign w:val="center"/>
            <w:tcMar>
              <w:top w:w="70" w:type="dxa"/>
              <w:start w:w="70" w:type="dxa"/>
              <w:bottom w:w="70" w:type="dxa"/>
              <w:end w:w="70" w:type="dxa"/>
            </w:tcMar>
          </w:tcPr>
          <w:p>
            <w:pPr>
              <w:pStyle w:val="TableSmall"/>
            </w:pPr>
            <w:r>
              <w:rPr>
                <w:b/>
                <w:color w:val="FFFFFF"/>
                <w:sz w:val="15"/>
              </w:rPr>
              <w:t>Indicateur</w:t>
            </w:r>
          </w:p>
        </w:tc>
        <w:tc>
          <w:tcPr>
            <w:tcW w:type="dxa" w:w="5213"/>
            <w:shd w:fill="0B66B2"/>
            <w:vAlign w:val="center"/>
            <w:tcMar>
              <w:top w:w="70" w:type="dxa"/>
              <w:start w:w="70" w:type="dxa"/>
              <w:bottom w:w="70" w:type="dxa"/>
              <w:end w:w="70" w:type="dxa"/>
            </w:tcMar>
          </w:tcPr>
          <w:p>
            <w:pPr>
              <w:pStyle w:val="TableSmall"/>
            </w:pPr>
            <w:r>
              <w:rPr>
                <w:b/>
                <w:color w:val="FFFFFF"/>
                <w:sz w:val="15"/>
              </w:rPr>
              <w:t>Cible proposée V1</w:t>
            </w:r>
          </w:p>
        </w:tc>
      </w:tr>
      <w:tr>
        <w:tc>
          <w:tcPr>
            <w:tcW w:type="dxa" w:w="5213"/>
            <w:vAlign w:val="top"/>
            <w:tcMar>
              <w:top w:w="65" w:type="dxa"/>
              <w:start w:w="65" w:type="dxa"/>
              <w:bottom w:w="65" w:type="dxa"/>
              <w:end w:w="65" w:type="dxa"/>
            </w:tcMar>
          </w:tcPr>
          <w:p>
            <w:pPr>
              <w:pStyle w:val="TableSmall"/>
            </w:pPr>
            <w:r>
              <w:rPr>
                <w:sz w:val="15"/>
              </w:rPr>
              <w:t>Core Web Vitals pages publiques</w:t>
            </w:r>
          </w:p>
        </w:tc>
        <w:tc>
          <w:tcPr>
            <w:tcW w:type="dxa" w:w="5213"/>
            <w:vAlign w:val="top"/>
            <w:tcMar>
              <w:top w:w="65" w:type="dxa"/>
              <w:start w:w="65" w:type="dxa"/>
              <w:bottom w:w="65" w:type="dxa"/>
              <w:end w:w="65" w:type="dxa"/>
            </w:tcMar>
          </w:tcPr>
          <w:p>
            <w:pPr>
              <w:pStyle w:val="TableSmall"/>
            </w:pPr>
            <w:r>
              <w:rPr>
                <w:sz w:val="15"/>
              </w:rPr>
              <w:t>LCP &lt; 2,5 s ; INP &lt; 200 ms ; CLS &lt; 0,1 au p75 sur conditions mobiles réalistes.</w:t>
            </w:r>
          </w:p>
        </w:tc>
      </w:tr>
      <w:tr>
        <w:tc>
          <w:tcPr>
            <w:tcW w:type="dxa" w:w="5213"/>
            <w:vAlign w:val="top"/>
            <w:shd w:fill="F7F9FB"/>
            <w:tcMar>
              <w:top w:w="65" w:type="dxa"/>
              <w:start w:w="65" w:type="dxa"/>
              <w:bottom w:w="65" w:type="dxa"/>
              <w:end w:w="65" w:type="dxa"/>
            </w:tcMar>
          </w:tcPr>
          <w:p>
            <w:pPr>
              <w:pStyle w:val="TableSmall"/>
            </w:pPr>
            <w:r>
              <w:rPr>
                <w:sz w:val="15"/>
              </w:rPr>
              <w:t>API lectures courantes</w:t>
            </w:r>
          </w:p>
        </w:tc>
        <w:tc>
          <w:tcPr>
            <w:tcW w:type="dxa" w:w="5213"/>
            <w:vAlign w:val="top"/>
            <w:shd w:fill="F7F9FB"/>
            <w:tcMar>
              <w:top w:w="65" w:type="dxa"/>
              <w:start w:w="65" w:type="dxa"/>
              <w:bottom w:w="65" w:type="dxa"/>
              <w:end w:w="65" w:type="dxa"/>
            </w:tcMar>
          </w:tcPr>
          <w:p>
            <w:pPr>
              <w:pStyle w:val="TableSmall"/>
            </w:pPr>
            <w:r>
              <w:rPr>
                <w:sz w:val="15"/>
              </w:rPr>
              <w:t>p95 &lt; 500 ms hors dépendance externe lente.</w:t>
            </w:r>
          </w:p>
        </w:tc>
      </w:tr>
      <w:tr>
        <w:tc>
          <w:tcPr>
            <w:tcW w:type="dxa" w:w="5213"/>
            <w:vAlign w:val="top"/>
            <w:tcMar>
              <w:top w:w="65" w:type="dxa"/>
              <w:start w:w="65" w:type="dxa"/>
              <w:bottom w:w="65" w:type="dxa"/>
              <w:end w:w="65" w:type="dxa"/>
            </w:tcMar>
          </w:tcPr>
          <w:p>
            <w:pPr>
              <w:pStyle w:val="TableSmall"/>
            </w:pPr>
            <w:r>
              <w:rPr>
                <w:sz w:val="15"/>
              </w:rPr>
              <w:t>Disponibilité</w:t>
            </w:r>
          </w:p>
        </w:tc>
        <w:tc>
          <w:tcPr>
            <w:tcW w:type="dxa" w:w="5213"/>
            <w:vAlign w:val="top"/>
            <w:tcMar>
              <w:top w:w="65" w:type="dxa"/>
              <w:start w:w="65" w:type="dxa"/>
              <w:bottom w:w="65" w:type="dxa"/>
              <w:end w:w="65" w:type="dxa"/>
            </w:tcMar>
          </w:tcPr>
          <w:p>
            <w:pPr>
              <w:pStyle w:val="TableSmall"/>
            </w:pPr>
            <w:r>
              <w:rPr>
                <w:sz w:val="15"/>
              </w:rPr>
              <w:t>99,5 % mensuelle minimum proposée, hors maintenance planifiée ; cible contractuelle à valider.</w:t>
            </w:r>
          </w:p>
        </w:tc>
      </w:tr>
      <w:tr>
        <w:tc>
          <w:tcPr>
            <w:tcW w:type="dxa" w:w="5213"/>
            <w:vAlign w:val="top"/>
            <w:shd w:fill="F7F9FB"/>
            <w:tcMar>
              <w:top w:w="65" w:type="dxa"/>
              <w:start w:w="65" w:type="dxa"/>
              <w:bottom w:w="65" w:type="dxa"/>
              <w:end w:w="65" w:type="dxa"/>
            </w:tcMar>
          </w:tcPr>
          <w:p>
            <w:pPr>
              <w:pStyle w:val="TableSmall"/>
            </w:pPr>
            <w:r>
              <w:rPr>
                <w:sz w:val="15"/>
              </w:rPr>
              <w:t>RPO</w:t>
            </w:r>
          </w:p>
        </w:tc>
        <w:tc>
          <w:tcPr>
            <w:tcW w:type="dxa" w:w="5213"/>
            <w:vAlign w:val="top"/>
            <w:shd w:fill="F7F9FB"/>
            <w:tcMar>
              <w:top w:w="65" w:type="dxa"/>
              <w:start w:w="65" w:type="dxa"/>
              <w:bottom w:w="65" w:type="dxa"/>
              <w:end w:w="65" w:type="dxa"/>
            </w:tcMar>
          </w:tcPr>
          <w:p>
            <w:pPr>
              <w:pStyle w:val="TableSmall"/>
            </w:pPr>
            <w:r>
              <w:rPr>
                <w:sz w:val="15"/>
              </w:rPr>
              <w:t>≤ 1 heure proposé pour la base de production.</w:t>
            </w:r>
          </w:p>
        </w:tc>
      </w:tr>
      <w:tr>
        <w:tc>
          <w:tcPr>
            <w:tcW w:type="dxa" w:w="5213"/>
            <w:vAlign w:val="top"/>
            <w:tcMar>
              <w:top w:w="65" w:type="dxa"/>
              <w:start w:w="65" w:type="dxa"/>
              <w:bottom w:w="65" w:type="dxa"/>
              <w:end w:w="65" w:type="dxa"/>
            </w:tcMar>
          </w:tcPr>
          <w:p>
            <w:pPr>
              <w:pStyle w:val="TableSmall"/>
            </w:pPr>
            <w:r>
              <w:rPr>
                <w:sz w:val="15"/>
              </w:rPr>
              <w:t>RTO</w:t>
            </w:r>
          </w:p>
        </w:tc>
        <w:tc>
          <w:tcPr>
            <w:tcW w:type="dxa" w:w="5213"/>
            <w:vAlign w:val="top"/>
            <w:tcMar>
              <w:top w:w="65" w:type="dxa"/>
              <w:start w:w="65" w:type="dxa"/>
              <w:bottom w:w="65" w:type="dxa"/>
              <w:end w:w="65" w:type="dxa"/>
            </w:tcMar>
          </w:tcPr>
          <w:p>
            <w:pPr>
              <w:pStyle w:val="TableSmall"/>
            </w:pPr>
            <w:r>
              <w:rPr>
                <w:sz w:val="15"/>
              </w:rPr>
              <w:t>≤ 4 heures proposé pour incident majeur.</w:t>
            </w:r>
          </w:p>
        </w:tc>
      </w:tr>
      <w:tr>
        <w:tc>
          <w:tcPr>
            <w:tcW w:type="dxa" w:w="5213"/>
            <w:vAlign w:val="top"/>
            <w:shd w:fill="F7F9FB"/>
            <w:tcMar>
              <w:top w:w="65" w:type="dxa"/>
              <w:start w:w="65" w:type="dxa"/>
              <w:bottom w:w="65" w:type="dxa"/>
              <w:end w:w="65" w:type="dxa"/>
            </w:tcMar>
          </w:tcPr>
          <w:p>
            <w:pPr>
              <w:pStyle w:val="TableSmall"/>
            </w:pPr>
            <w:r>
              <w:rPr>
                <w:sz w:val="15"/>
              </w:rPr>
              <w:t>Erreur applicative</w:t>
            </w:r>
          </w:p>
        </w:tc>
        <w:tc>
          <w:tcPr>
            <w:tcW w:type="dxa" w:w="5213"/>
            <w:vAlign w:val="top"/>
            <w:shd w:fill="F7F9FB"/>
            <w:tcMar>
              <w:top w:w="65" w:type="dxa"/>
              <w:start w:w="65" w:type="dxa"/>
              <w:bottom w:w="65" w:type="dxa"/>
              <w:end w:w="65" w:type="dxa"/>
            </w:tcMar>
          </w:tcPr>
          <w:p>
            <w:pPr>
              <w:pStyle w:val="TableSmall"/>
            </w:pPr>
            <w:r>
              <w:rPr>
                <w:sz w:val="15"/>
              </w:rPr>
              <w:t>Alertes sur hausse d’erreurs 5xx, échec de jobs, file email, paiement/webhook.</w:t>
            </w:r>
          </w:p>
        </w:tc>
      </w:tr>
      <w:tr>
        <w:tc>
          <w:tcPr>
            <w:tcW w:type="dxa" w:w="5213"/>
            <w:vAlign w:val="top"/>
            <w:tcMar>
              <w:top w:w="65" w:type="dxa"/>
              <w:start w:w="65" w:type="dxa"/>
              <w:bottom w:w="65" w:type="dxa"/>
              <w:end w:w="65" w:type="dxa"/>
            </w:tcMar>
          </w:tcPr>
          <w:p>
            <w:pPr>
              <w:pStyle w:val="TableSmall"/>
            </w:pPr>
            <w:r>
              <w:rPr>
                <w:sz w:val="15"/>
              </w:rPr>
              <w:t>Capacité</w:t>
            </w:r>
          </w:p>
        </w:tc>
        <w:tc>
          <w:tcPr>
            <w:tcW w:type="dxa" w:w="5213"/>
            <w:vAlign w:val="top"/>
            <w:tcMar>
              <w:top w:w="65" w:type="dxa"/>
              <w:start w:w="65" w:type="dxa"/>
              <w:bottom w:w="65" w:type="dxa"/>
              <w:end w:w="65" w:type="dxa"/>
            </w:tcMar>
          </w:tcPr>
          <w:p>
            <w:pPr>
              <w:pStyle w:val="TableSmall"/>
            </w:pPr>
            <w:r>
              <w:rPr>
                <w:sz w:val="15"/>
              </w:rPr>
              <w:t>Test de charge sur pics d’inscription, publication et Master Class.</w:t>
            </w:r>
          </w:p>
        </w:tc>
      </w:tr>
    </w:tbl>
    <w:p>
      <w:pPr>
        <w:spacing w:after="20"/>
      </w:pPr>
    </w:p>
    <w:p>
      <w:pPr>
        <w:pStyle w:val="Heading1"/>
      </w:pPr>
      <w:r>
        <w:t>25. SEO, recherche et découvrabilité</w:t>
      </w:r>
    </w:p>
    <w:p>
      <w:pPr>
        <w:pStyle w:val="ListBullet"/>
        <w:spacing w:after="40"/>
      </w:pPr>
      <w:r>
        <w:t>Title/description éditables, canonical, Open Graph, robots et sitemap.</w:t>
      </w:r>
    </w:p>
    <w:p>
      <w:pPr>
        <w:pStyle w:val="ListBullet"/>
        <w:spacing w:after="40"/>
      </w:pPr>
      <w:r>
        <w:t>URLs lisibles et stables ; redirections documentées lors d’une migration.</w:t>
      </w:r>
    </w:p>
    <w:p>
      <w:pPr>
        <w:pStyle w:val="ListBullet"/>
        <w:spacing w:after="40"/>
      </w:pPr>
      <w:r>
        <w:t>Données structurées pour organisation, article, événement et cours lorsque pertinentes.</w:t>
      </w:r>
    </w:p>
    <w:p>
      <w:pPr>
        <w:pStyle w:val="ListBullet"/>
        <w:spacing w:after="40"/>
      </w:pPr>
      <w:r>
        <w:t>Recherche MVP avec PostgreSQL full-text + trigramme ; index sur titres, résumés, contenus et métadonnées.</w:t>
      </w:r>
    </w:p>
    <w:p>
      <w:pPr>
        <w:pStyle w:val="ListBullet"/>
        <w:spacing w:after="40"/>
      </w:pPr>
      <w:r>
        <w:t>Les contenus privés, brouillons et ressources non publiques ne doivent jamais être indexés par les moteurs externes.</w:t>
      </w:r>
    </w:p>
    <w:p>
      <w:pPr>
        <w:pStyle w:val="Heading1"/>
      </w:pPr>
      <w:r>
        <w:t>26. Reporting et tableaux de bord</w:t>
      </w:r>
    </w:p>
    <w:p>
      <w:pPr>
        <w:pStyle w:val="ListBullet"/>
        <w:spacing w:after="40"/>
      </w:pPr>
      <w:r>
        <w:t>Web : trafic, recherches, formulaires, demandes, inscriptions, ventes, conversions, contenus populaires.</w:t>
      </w:r>
    </w:p>
    <w:p>
      <w:pPr>
        <w:pStyle w:val="ListBullet"/>
        <w:spacing w:after="40"/>
      </w:pPr>
      <w:r>
        <w:t>LMS : apprenants actifs, inscriptions, abandons, complétion, réussite, progression, temps passé, assiduité.</w:t>
      </w:r>
    </w:p>
    <w:p>
      <w:pPr>
        <w:pStyle w:val="ListBullet"/>
        <w:spacing w:after="40"/>
      </w:pPr>
      <w:r>
        <w:t>Organisation : bénéficiaires, cours, progression agrégée, résultats, certificats et rapports.</w:t>
      </w:r>
    </w:p>
    <w:p>
      <w:pPr>
        <w:pStyle w:val="ListBullet"/>
        <w:spacing w:after="40"/>
      </w:pPr>
      <w:r>
        <w:t>Formation : résultats par module/session/formateur/organisation.</w:t>
      </w:r>
    </w:p>
    <w:p>
      <w:pPr>
        <w:pStyle w:val="ListBullet"/>
        <w:spacing w:after="40"/>
      </w:pPr>
      <w:r>
        <w:t>Finance : chiffre d’affaires, impayés, remboursements, panier moyen, canal et moyen de paiement.</w:t>
      </w:r>
    </w:p>
    <w:p>
      <w:pPr>
        <w:pStyle w:val="ListBullet"/>
        <w:spacing w:after="40"/>
      </w:pPr>
      <w:r>
        <w:t>Qualité : satisfaction, NPS ou indicateur retenu, impact post-formation.</w:t>
      </w:r>
    </w:p>
    <w:p>
      <w:pPr>
        <w:pStyle w:val="ListBullet"/>
        <w:spacing w:after="40"/>
      </w:pPr>
      <w:r>
        <w:t>Exports contrôlés et journalisés ; accès selon rôle.</w:t>
      </w:r>
    </w:p>
    <w:p>
      <w:pPr>
        <w:pStyle w:val="Heading1"/>
      </w:pPr>
      <w:r>
        <w:t>27. Environnements, DevOps et déploiement</w:t>
      </w:r>
    </w:p>
    <w:p>
      <w:pPr>
        <w:pStyle w:val="ListBullet"/>
        <w:spacing w:after="40"/>
      </w:pPr>
      <w:r>
        <w:t>Environnements séparés : local, test/CI, staging/recette, production.</w:t>
      </w:r>
    </w:p>
    <w:p>
      <w:pPr>
        <w:pStyle w:val="ListBullet"/>
        <w:spacing w:after="40"/>
      </w:pPr>
      <w:r>
        <w:t>Conteneurs Docker reproductibles pour web, lms, api et worker.</w:t>
      </w:r>
    </w:p>
    <w:p>
      <w:pPr>
        <w:pStyle w:val="ListBullet"/>
        <w:spacing w:after="40"/>
      </w:pPr>
      <w:r>
        <w:t>Reverse proxy/ingress gérant TLS, headers de sécurité, compression et routage des sous-domaines.</w:t>
      </w:r>
    </w:p>
    <w:p>
      <w:pPr>
        <w:pStyle w:val="ListBullet"/>
        <w:spacing w:after="40"/>
      </w:pPr>
      <w:r>
        <w:t>Pipeline : install immuable -&gt; lint -&gt; typecheck -&gt; tests -&gt; build -&gt; scan -&gt; migration contrôlée -&gt; déploiement -&gt; smoke tests.</w:t>
      </w:r>
    </w:p>
    <w:p>
      <w:pPr>
        <w:pStyle w:val="ListBullet"/>
        <w:spacing w:after="40"/>
      </w:pPr>
      <w:r>
        <w:t xml:space="preserve">Pas de secret dans Git ; </w:t>
      </w:r>
      <w:r>
        <w:rPr>
          <w:rFonts w:ascii="Consolas" w:hAnsi="Consolas"/>
          <w:sz w:val="17"/>
        </w:rPr>
        <w:t>.env.example</w:t>
      </w:r>
      <w:r>
        <w:t xml:space="preserve"> documenté, validation des variables au démarrage.</w:t>
      </w:r>
    </w:p>
    <w:p>
      <w:pPr>
        <w:pStyle w:val="ListBullet"/>
        <w:spacing w:after="40"/>
      </w:pPr>
      <w:r>
        <w:t>Les migrations destructives nécessitent plan de rollback ou migration en plusieurs étapes.</w:t>
      </w:r>
    </w:p>
    <w:p>
      <w:pPr>
        <w:pStyle w:val="ListBullet"/>
        <w:spacing w:after="40"/>
      </w:pPr>
      <w:r>
        <w:t>Les déploiements de web et LMS doivent pouvoir être indépendants grâce au monorepo Turbo.</w:t>
      </w:r>
    </w:p>
    <w:p>
      <w:pPr>
        <w:pStyle w:val="ListBullet"/>
        <w:spacing w:after="40"/>
      </w:pPr>
      <w:r>
        <w:t>Feature flags pour fonctions risquées ou incomplètes.</w:t>
      </w:r>
    </w:p>
    <w:p>
      <w:pPr>
        <w:pStyle w:val="Heading1"/>
      </w:pPr>
      <w:r>
        <w:t>28. Sauvegarde, supervision et continuité</w:t>
      </w:r>
    </w:p>
    <w:p>
      <w:pPr>
        <w:pStyle w:val="ListBullet"/>
        <w:spacing w:after="40"/>
      </w:pPr>
      <w:r>
        <w:t>Sauvegardes automatiques de PostgreSQL et du stockage objet selon politique de rétention validée.</w:t>
      </w:r>
    </w:p>
    <w:p>
      <w:pPr>
        <w:pStyle w:val="ListBullet"/>
        <w:spacing w:after="40"/>
      </w:pPr>
      <w:r>
        <w:t>Test de restauration avant recette finale puis périodiquement.</w:t>
      </w:r>
    </w:p>
    <w:p>
      <w:pPr>
        <w:pStyle w:val="ListBullet"/>
        <w:spacing w:after="40"/>
      </w:pPr>
      <w:r>
        <w:t>Supervision uptime des deux domaines et de l’API.</w:t>
      </w:r>
    </w:p>
    <w:p>
      <w:pPr>
        <w:pStyle w:val="ListBullet"/>
        <w:spacing w:after="40"/>
      </w:pPr>
      <w:r>
        <w:t>Alertes sur erreurs 5xx, saturation, base indisponible, stockage, Redis, worker bloqué, webhooks et paiements.</w:t>
      </w:r>
    </w:p>
    <w:p>
      <w:pPr>
        <w:pStyle w:val="ListBullet"/>
        <w:spacing w:after="40"/>
      </w:pPr>
      <w:r>
        <w:t>Runbooks documentés : restauration, panne email, PSP indisponible, rotation secret, révocation certificat, incident de sécurité.</w:t>
      </w:r>
    </w:p>
    <w:p>
      <w:pPr>
        <w:pStyle w:val="ListBullet"/>
        <w:spacing w:after="40"/>
      </w:pPr>
      <w:r>
        <w:t>Journal d’incident et post-mortem pour incidents majeurs.</w:t>
      </w:r>
    </w:p>
    <w:p>
      <w:pPr>
        <w:pStyle w:val="Heading1"/>
      </w:pPr>
      <w:r>
        <w:t>29. Tests et assurance qualité</w:t>
      </w:r>
    </w:p>
    <w:p>
      <w:pPr>
        <w:pStyle w:val="ListBullet"/>
        <w:spacing w:after="40"/>
      </w:pPr>
      <w:r>
        <w:t>Unitaires : règles métier, calculs, permissions, certification, progression, paiements.</w:t>
      </w:r>
    </w:p>
    <w:p>
      <w:pPr>
        <w:pStyle w:val="ListBullet"/>
        <w:spacing w:after="40"/>
      </w:pPr>
      <w:r>
        <w:t>Intégration : base réelle de test, API, stockage simulé, PSP sandbox/fake, jobs.</w:t>
      </w:r>
    </w:p>
    <w:p>
      <w:pPr>
        <w:pStyle w:val="ListBullet"/>
        <w:spacing w:after="40"/>
      </w:pPr>
      <w:r>
        <w:t>E2E Playwright : inscription, SSO, demande institutionnelle, parcours de cours, quiz, devoir, certificat, paiement, administration.</w:t>
      </w:r>
    </w:p>
    <w:p>
      <w:pPr>
        <w:pStyle w:val="ListBullet"/>
        <w:spacing w:after="40"/>
      </w:pPr>
      <w:r>
        <w:t>Tests d’autorisation négatifs systématiques pour rôles et organisations.</w:t>
      </w:r>
    </w:p>
    <w:p>
      <w:pPr>
        <w:pStyle w:val="ListBullet"/>
        <w:spacing w:after="40"/>
      </w:pPr>
      <w:r>
        <w:t>Tests mobile sur viewport et appareils réels convenus.</w:t>
      </w:r>
    </w:p>
    <w:p>
      <w:pPr>
        <w:pStyle w:val="ListBullet"/>
        <w:spacing w:after="40"/>
      </w:pPr>
      <w:r>
        <w:t>Tests de performance sur pages publiques et scénarios d’inscription.</w:t>
      </w:r>
    </w:p>
    <w:p>
      <w:pPr>
        <w:pStyle w:val="ListBullet"/>
        <w:spacing w:after="40"/>
      </w:pPr>
      <w:r>
        <w:t>Accessibilité automatisée + revue manuelle des parcours essentiels.</w:t>
      </w:r>
    </w:p>
    <w:p>
      <w:pPr>
        <w:pStyle w:val="ListBullet"/>
        <w:spacing w:after="40"/>
      </w:pPr>
      <w:r>
        <w:t>Scan de vulnérabilités et dépendances avant production.</w:t>
      </w:r>
    </w:p>
    <w:p>
      <w:pPr>
        <w:pStyle w:val="Heading1"/>
      </w:pPr>
      <w:r>
        <w:t>30. Critères de recette globale</w:t>
      </w:r>
    </w:p>
    <w:p>
      <w:pPr>
        <w:spacing w:after="40"/>
        <w:ind w:left="312" w:hanging="312"/>
      </w:pPr>
      <w:r>
        <w:rPr>
          <w:b w:val="0"/>
        </w:rPr>
        <w:t xml:space="preserve">1. </w:t>
      </w:r>
      <w:r>
        <w:t>100 % des exigences MUST sont livrées ou font l’objet d’une dérogation écrite signée.</w:t>
      </w:r>
    </w:p>
    <w:p>
      <w:pPr>
        <w:spacing w:after="40"/>
        <w:ind w:left="312" w:hanging="312"/>
      </w:pPr>
      <w:r>
        <w:rPr>
          <w:b w:val="0"/>
        </w:rPr>
        <w:t xml:space="preserve">2. </w:t>
      </w:r>
      <w:r>
        <w:t>Les deux domaines sont accessibles en HTTPS et utilisent la charte FETRAG commune.</w:t>
      </w:r>
    </w:p>
    <w:p>
      <w:pPr>
        <w:spacing w:after="40"/>
        <w:ind w:left="312" w:hanging="312"/>
      </w:pPr>
      <w:r>
        <w:rPr>
          <w:b w:val="0"/>
        </w:rPr>
        <w:t xml:space="preserve">3. </w:t>
      </w:r>
      <w:r>
        <w:t>SSO portail &lt;-&gt; LMS validé sans ressaisie de mot de passe.</w:t>
      </w:r>
    </w:p>
    <w:p>
      <w:pPr>
        <w:spacing w:after="40"/>
        <w:ind w:left="312" w:hanging="312"/>
      </w:pPr>
      <w:r>
        <w:rPr>
          <w:b w:val="0"/>
        </w:rPr>
        <w:t xml:space="preserve">4. </w:t>
      </w:r>
      <w:r>
        <w:t>Un administrateur non technique publie une page, une actualité, une ressource et une formation publique.</w:t>
      </w:r>
    </w:p>
    <w:p>
      <w:pPr>
        <w:spacing w:after="40"/>
        <w:ind w:left="312" w:hanging="312"/>
      </w:pPr>
      <w:r>
        <w:rPr>
          <w:b w:val="0"/>
        </w:rPr>
        <w:t xml:space="preserve">5. </w:t>
      </w:r>
      <w:r>
        <w:t>Une organisation soumet une demande de formation, désigne ses participants et suit la décision.</w:t>
      </w:r>
    </w:p>
    <w:p>
      <w:pPr>
        <w:spacing w:after="40"/>
        <w:ind w:left="312" w:hanging="312"/>
      </w:pPr>
      <w:r>
        <w:rPr>
          <w:b w:val="0"/>
        </w:rPr>
        <w:t xml:space="preserve">6. </w:t>
      </w:r>
      <w:r>
        <w:t>Une cohorte pilote suit un cours complet avec au moins trois types de ressources, une évaluation et une présence.</w:t>
      </w:r>
    </w:p>
    <w:p>
      <w:pPr>
        <w:spacing w:after="40"/>
        <w:ind w:left="312" w:hanging="312"/>
      </w:pPr>
      <w:r>
        <w:rPr>
          <w:b w:val="0"/>
        </w:rPr>
        <w:t xml:space="preserve">7. </w:t>
      </w:r>
      <w:r>
        <w:t>Un certificat est émis selon règle, contient un identifiant/QR et se vérifie publiquement.</w:t>
      </w:r>
    </w:p>
    <w:p>
      <w:pPr>
        <w:spacing w:after="40"/>
        <w:ind w:left="312" w:hanging="312"/>
      </w:pPr>
      <w:r>
        <w:rPr>
          <w:b w:val="0"/>
        </w:rPr>
        <w:t xml:space="preserve">8. </w:t>
      </w:r>
      <w:r>
        <w:t>Un paiement sandbox ou une prise en charge/exonération permet une inscription conditionnelle.</w:t>
      </w:r>
    </w:p>
    <w:p>
      <w:pPr>
        <w:spacing w:after="40"/>
        <w:ind w:left="312" w:hanging="312"/>
      </w:pPr>
      <w:r>
        <w:rPr>
          <w:b w:val="0"/>
        </w:rPr>
        <w:t xml:space="preserve">9. </w:t>
      </w:r>
      <w:r>
        <w:t>Rapports par organisation, session et finance sont exploitables.</w:t>
      </w:r>
    </w:p>
    <w:p>
      <w:pPr>
        <w:spacing w:after="40"/>
        <w:ind w:left="312" w:hanging="312"/>
      </w:pPr>
      <w:r>
        <w:rPr>
          <w:b w:val="0"/>
        </w:rPr>
        <w:t xml:space="preserve">10. </w:t>
      </w:r>
      <w:r>
        <w:t>Les sauvegardes et la restauration sont testées.</w:t>
      </w:r>
    </w:p>
    <w:p>
      <w:pPr>
        <w:spacing w:after="40"/>
        <w:ind w:left="312" w:hanging="312"/>
      </w:pPr>
      <w:r>
        <w:rPr>
          <w:b w:val="0"/>
        </w:rPr>
        <w:t xml:space="preserve">11. </w:t>
      </w:r>
      <w:r>
        <w:t>Aucune vulnérabilité critique connue n’est ouverte au go-live.</w:t>
      </w:r>
    </w:p>
    <w:p>
      <w:pPr>
        <w:spacing w:after="40"/>
        <w:ind w:left="312" w:hanging="312"/>
      </w:pPr>
      <w:r>
        <w:rPr>
          <w:b w:val="0"/>
        </w:rPr>
        <w:t xml:space="preserve">12. </w:t>
      </w:r>
      <w:r>
        <w:t>Les équipes FETRAG disposent des accès, guides, runbooks et du code source nécessaires à la réversibilité.</w:t>
      </w:r>
    </w:p>
    <w:p>
      <w:pPr>
        <w:pStyle w:val="Heading1"/>
      </w:pPr>
      <w:r>
        <w:t>31. Phasage recommandé</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blHeader w:val="true"/>
          <w:cantSplit/>
        </w:trPr>
        <w:tc>
          <w:tcPr>
            <w:tcW w:type="dxa" w:w="2606"/>
            <w:shd w:fill="0B66B2"/>
            <w:vAlign w:val="center"/>
            <w:tcMar>
              <w:top w:w="70" w:type="dxa"/>
              <w:start w:w="70" w:type="dxa"/>
              <w:bottom w:w="70" w:type="dxa"/>
              <w:end w:w="70" w:type="dxa"/>
            </w:tcMar>
          </w:tcPr>
          <w:p>
            <w:pPr>
              <w:pStyle w:val="TableSmall"/>
            </w:pPr>
            <w:r>
              <w:rPr>
                <w:b/>
                <w:color w:val="FFFFFF"/>
                <w:sz w:val="15"/>
              </w:rPr>
              <w:t>Phase</w:t>
            </w:r>
          </w:p>
        </w:tc>
        <w:tc>
          <w:tcPr>
            <w:tcW w:type="dxa" w:w="2606"/>
            <w:shd w:fill="0B66B2"/>
            <w:vAlign w:val="center"/>
            <w:tcMar>
              <w:top w:w="70" w:type="dxa"/>
              <w:start w:w="70" w:type="dxa"/>
              <w:bottom w:w="70" w:type="dxa"/>
              <w:end w:w="70" w:type="dxa"/>
            </w:tcMar>
          </w:tcPr>
          <w:p>
            <w:pPr>
              <w:pStyle w:val="TableSmall"/>
            </w:pPr>
            <w:r>
              <w:rPr>
                <w:b/>
                <w:color w:val="FFFFFF"/>
                <w:sz w:val="15"/>
              </w:rPr>
              <w:t>Contenu</w:t>
            </w:r>
          </w:p>
        </w:tc>
        <w:tc>
          <w:tcPr>
            <w:tcW w:type="dxa" w:w="2606"/>
            <w:shd w:fill="0B66B2"/>
            <w:vAlign w:val="center"/>
            <w:tcMar>
              <w:top w:w="70" w:type="dxa"/>
              <w:start w:w="70" w:type="dxa"/>
              <w:bottom w:w="70" w:type="dxa"/>
              <w:end w:w="70" w:type="dxa"/>
            </w:tcMar>
          </w:tcPr>
          <w:p>
            <w:pPr>
              <w:pStyle w:val="TableSmall"/>
            </w:pPr>
            <w:r>
              <w:rPr>
                <w:b/>
                <w:color w:val="FFFFFF"/>
                <w:sz w:val="15"/>
              </w:rPr>
              <w:t>Durée indicative</w:t>
            </w:r>
          </w:p>
        </w:tc>
        <w:tc>
          <w:tcPr>
            <w:tcW w:type="dxa" w:w="2606"/>
            <w:shd w:fill="0B66B2"/>
            <w:vAlign w:val="center"/>
            <w:tcMar>
              <w:top w:w="70" w:type="dxa"/>
              <w:start w:w="70" w:type="dxa"/>
              <w:bottom w:w="70" w:type="dxa"/>
              <w:end w:w="70" w:type="dxa"/>
            </w:tcMar>
          </w:tcPr>
          <w:p>
            <w:pPr>
              <w:pStyle w:val="TableSmall"/>
            </w:pPr>
            <w:r>
              <w:rPr>
                <w:b/>
                <w:color w:val="FFFFFF"/>
                <w:sz w:val="15"/>
              </w:rPr>
              <w:t>Sortie</w:t>
            </w:r>
          </w:p>
        </w:tc>
      </w:tr>
      <w:tr>
        <w:trPr>
          <w:cantSplit/>
        </w:trPr>
        <w:tc>
          <w:tcPr>
            <w:tcW w:type="dxa" w:w="2606"/>
            <w:vAlign w:val="top"/>
            <w:tcMar>
              <w:top w:w="65" w:type="dxa"/>
              <w:start w:w="65" w:type="dxa"/>
              <w:bottom w:w="65" w:type="dxa"/>
              <w:end w:w="65" w:type="dxa"/>
            </w:tcMar>
          </w:tcPr>
          <w:p>
            <w:pPr>
              <w:pStyle w:val="TableSmall"/>
            </w:pPr>
            <w:r>
              <w:rPr>
                <w:sz w:val="15"/>
              </w:rPr>
              <w:t>0 - Cadrage final</w:t>
            </w:r>
          </w:p>
        </w:tc>
        <w:tc>
          <w:tcPr>
            <w:tcW w:type="dxa" w:w="2606"/>
            <w:vAlign w:val="top"/>
            <w:tcMar>
              <w:top w:w="65" w:type="dxa"/>
              <w:start w:w="65" w:type="dxa"/>
              <w:bottom w:w="65" w:type="dxa"/>
              <w:end w:w="65" w:type="dxa"/>
            </w:tcMar>
          </w:tcPr>
          <w:p>
            <w:pPr>
              <w:pStyle w:val="TableSmall"/>
            </w:pPr>
            <w:r>
              <w:rPr>
                <w:sz w:val="15"/>
              </w:rPr>
              <w:t>ADR, parcours, wireframes, backlog, PSP/IdP, données, politique de contenu</w:t>
            </w:r>
          </w:p>
        </w:tc>
        <w:tc>
          <w:tcPr>
            <w:tcW w:type="dxa" w:w="2606"/>
            <w:vAlign w:val="top"/>
            <w:tcMar>
              <w:top w:w="65" w:type="dxa"/>
              <w:start w:w="65" w:type="dxa"/>
              <w:bottom w:w="65" w:type="dxa"/>
              <w:end w:w="65" w:type="dxa"/>
            </w:tcMar>
          </w:tcPr>
          <w:p>
            <w:pPr>
              <w:pStyle w:val="TableSmall"/>
            </w:pPr>
            <w:r>
              <w:rPr>
                <w:sz w:val="15"/>
              </w:rPr>
              <w:t>1–2 sem.</w:t>
            </w:r>
          </w:p>
        </w:tc>
        <w:tc>
          <w:tcPr>
            <w:tcW w:type="dxa" w:w="2606"/>
            <w:vAlign w:val="top"/>
            <w:tcMar>
              <w:top w:w="65" w:type="dxa"/>
              <w:start w:w="65" w:type="dxa"/>
              <w:bottom w:w="65" w:type="dxa"/>
              <w:end w:w="65" w:type="dxa"/>
            </w:tcMar>
          </w:tcPr>
          <w:p>
            <w:pPr>
              <w:pStyle w:val="TableSmall"/>
            </w:pPr>
            <w:r>
              <w:rPr>
                <w:sz w:val="15"/>
              </w:rPr>
              <w:t>Architecture et backlog signés</w:t>
            </w:r>
          </w:p>
        </w:tc>
      </w:tr>
      <w:tr>
        <w:trPr>
          <w:cantSplit/>
        </w:trPr>
        <w:tc>
          <w:tcPr>
            <w:tcW w:type="dxa" w:w="2606"/>
            <w:vAlign w:val="top"/>
            <w:shd w:fill="F7F9FB"/>
            <w:tcMar>
              <w:top w:w="65" w:type="dxa"/>
              <w:start w:w="65" w:type="dxa"/>
              <w:bottom w:w="65" w:type="dxa"/>
              <w:end w:w="65" w:type="dxa"/>
            </w:tcMar>
          </w:tcPr>
          <w:p>
            <w:pPr>
              <w:pStyle w:val="TableSmall"/>
            </w:pPr>
            <w:r>
              <w:rPr>
                <w:sz w:val="15"/>
              </w:rPr>
              <w:t>1 - Fondation monorepo</w:t>
            </w:r>
          </w:p>
        </w:tc>
        <w:tc>
          <w:tcPr>
            <w:tcW w:type="dxa" w:w="2606"/>
            <w:vAlign w:val="top"/>
            <w:shd w:fill="F7F9FB"/>
            <w:tcMar>
              <w:top w:w="65" w:type="dxa"/>
              <w:start w:w="65" w:type="dxa"/>
              <w:bottom w:w="65" w:type="dxa"/>
              <w:end w:w="65" w:type="dxa"/>
            </w:tcMar>
          </w:tcPr>
          <w:p>
            <w:pPr>
              <w:pStyle w:val="TableSmall"/>
            </w:pPr>
            <w:r>
              <w:rPr>
                <w:sz w:val="15"/>
              </w:rPr>
              <w:t>Repo, CI/CD, design system, DB, API, auth OIDC, observabilité</w:t>
            </w:r>
          </w:p>
        </w:tc>
        <w:tc>
          <w:tcPr>
            <w:tcW w:type="dxa" w:w="2606"/>
            <w:vAlign w:val="top"/>
            <w:shd w:fill="F7F9FB"/>
            <w:tcMar>
              <w:top w:w="65" w:type="dxa"/>
              <w:start w:w="65" w:type="dxa"/>
              <w:bottom w:w="65" w:type="dxa"/>
              <w:end w:w="65" w:type="dxa"/>
            </w:tcMar>
          </w:tcPr>
          <w:p>
            <w:pPr>
              <w:pStyle w:val="TableSmall"/>
            </w:pPr>
            <w:r>
              <w:rPr>
                <w:sz w:val="15"/>
              </w:rPr>
              <w:t>2 sem.</w:t>
            </w:r>
          </w:p>
        </w:tc>
        <w:tc>
          <w:tcPr>
            <w:tcW w:type="dxa" w:w="2606"/>
            <w:vAlign w:val="top"/>
            <w:shd w:fill="F7F9FB"/>
            <w:tcMar>
              <w:top w:w="65" w:type="dxa"/>
              <w:start w:w="65" w:type="dxa"/>
              <w:bottom w:w="65" w:type="dxa"/>
              <w:end w:w="65" w:type="dxa"/>
            </w:tcMar>
          </w:tcPr>
          <w:p>
            <w:pPr>
              <w:pStyle w:val="TableSmall"/>
            </w:pPr>
            <w:r>
              <w:rPr>
                <w:sz w:val="15"/>
              </w:rPr>
              <w:t>Socle déployable</w:t>
            </w:r>
          </w:p>
        </w:tc>
      </w:tr>
      <w:tr>
        <w:trPr>
          <w:cantSplit/>
        </w:trPr>
        <w:tc>
          <w:tcPr>
            <w:tcW w:type="dxa" w:w="2606"/>
            <w:vAlign w:val="top"/>
            <w:tcMar>
              <w:top w:w="65" w:type="dxa"/>
              <w:start w:w="65" w:type="dxa"/>
              <w:bottom w:w="65" w:type="dxa"/>
              <w:end w:w="65" w:type="dxa"/>
            </w:tcMar>
          </w:tcPr>
          <w:p>
            <w:pPr>
              <w:pStyle w:val="TableSmall"/>
            </w:pPr>
            <w:r>
              <w:rPr>
                <w:sz w:val="15"/>
              </w:rPr>
              <w:t>2 - Portail MVP</w:t>
            </w:r>
          </w:p>
        </w:tc>
        <w:tc>
          <w:tcPr>
            <w:tcW w:type="dxa" w:w="2606"/>
            <w:vAlign w:val="top"/>
            <w:tcMar>
              <w:top w:w="65" w:type="dxa"/>
              <w:start w:w="65" w:type="dxa"/>
              <w:bottom w:w="65" w:type="dxa"/>
              <w:end w:w="65" w:type="dxa"/>
            </w:tcMar>
          </w:tcPr>
          <w:p>
            <w:pPr>
              <w:pStyle w:val="TableSmall"/>
            </w:pPr>
            <w:r>
              <w:rPr>
                <w:sz w:val="15"/>
              </w:rPr>
              <w:t>CMS, actualités, ressources, services, formulaires, SEO, recherche</w:t>
            </w:r>
          </w:p>
        </w:tc>
        <w:tc>
          <w:tcPr>
            <w:tcW w:type="dxa" w:w="2606"/>
            <w:vAlign w:val="top"/>
            <w:tcMar>
              <w:top w:w="65" w:type="dxa"/>
              <w:start w:w="65" w:type="dxa"/>
              <w:bottom w:w="65" w:type="dxa"/>
              <w:end w:w="65" w:type="dxa"/>
            </w:tcMar>
          </w:tcPr>
          <w:p>
            <w:pPr>
              <w:pStyle w:val="TableSmall"/>
            </w:pPr>
            <w:r>
              <w:rPr>
                <w:sz w:val="15"/>
              </w:rPr>
              <w:t>3–4 sem.</w:t>
            </w:r>
          </w:p>
        </w:tc>
        <w:tc>
          <w:tcPr>
            <w:tcW w:type="dxa" w:w="2606"/>
            <w:vAlign w:val="top"/>
            <w:tcMar>
              <w:top w:w="65" w:type="dxa"/>
              <w:start w:w="65" w:type="dxa"/>
              <w:bottom w:w="65" w:type="dxa"/>
              <w:end w:w="65" w:type="dxa"/>
            </w:tcMar>
          </w:tcPr>
          <w:p>
            <w:pPr>
              <w:pStyle w:val="TableSmall"/>
            </w:pPr>
            <w:r>
              <w:rPr>
                <w:sz w:val="15"/>
              </w:rPr>
              <w:t>fetrag.ga en recette</w:t>
            </w:r>
          </w:p>
        </w:tc>
      </w:tr>
      <w:tr>
        <w:trPr>
          <w:cantSplit/>
        </w:trPr>
        <w:tc>
          <w:tcPr>
            <w:tcW w:type="dxa" w:w="2606"/>
            <w:vAlign w:val="top"/>
            <w:shd w:fill="F7F9FB"/>
            <w:tcMar>
              <w:top w:w="65" w:type="dxa"/>
              <w:start w:w="65" w:type="dxa"/>
              <w:bottom w:w="65" w:type="dxa"/>
              <w:end w:w="65" w:type="dxa"/>
            </w:tcMar>
          </w:tcPr>
          <w:p>
            <w:pPr>
              <w:pStyle w:val="TableSmall"/>
            </w:pPr>
            <w:r>
              <w:rPr>
                <w:sz w:val="15"/>
              </w:rPr>
              <w:t>3 - LMS cœur</w:t>
            </w:r>
          </w:p>
        </w:tc>
        <w:tc>
          <w:tcPr>
            <w:tcW w:type="dxa" w:w="2606"/>
            <w:vAlign w:val="top"/>
            <w:shd w:fill="F7F9FB"/>
            <w:tcMar>
              <w:top w:w="65" w:type="dxa"/>
              <w:start w:w="65" w:type="dxa"/>
              <w:bottom w:w="65" w:type="dxa"/>
              <w:end w:w="65" w:type="dxa"/>
            </w:tcMar>
          </w:tcPr>
          <w:p>
            <w:pPr>
              <w:pStyle w:val="TableSmall"/>
            </w:pPr>
            <w:r>
              <w:rPr>
                <w:sz w:val="15"/>
              </w:rPr>
              <w:t>Catalogue, cours, lecteur, inscriptions, progression, dashboards</w:t>
            </w:r>
          </w:p>
        </w:tc>
        <w:tc>
          <w:tcPr>
            <w:tcW w:type="dxa" w:w="2606"/>
            <w:vAlign w:val="top"/>
            <w:shd w:fill="F7F9FB"/>
            <w:tcMar>
              <w:top w:w="65" w:type="dxa"/>
              <w:start w:w="65" w:type="dxa"/>
              <w:bottom w:w="65" w:type="dxa"/>
              <w:end w:w="65" w:type="dxa"/>
            </w:tcMar>
          </w:tcPr>
          <w:p>
            <w:pPr>
              <w:pStyle w:val="TableSmall"/>
            </w:pPr>
            <w:r>
              <w:rPr>
                <w:sz w:val="15"/>
              </w:rPr>
              <w:t>4–5 sem.</w:t>
            </w:r>
          </w:p>
        </w:tc>
        <w:tc>
          <w:tcPr>
            <w:tcW w:type="dxa" w:w="2606"/>
            <w:vAlign w:val="top"/>
            <w:shd w:fill="F7F9FB"/>
            <w:tcMar>
              <w:top w:w="65" w:type="dxa"/>
              <w:start w:w="65" w:type="dxa"/>
              <w:bottom w:w="65" w:type="dxa"/>
              <w:end w:w="65" w:type="dxa"/>
            </w:tcMar>
          </w:tcPr>
          <w:p>
            <w:pPr>
              <w:pStyle w:val="TableSmall"/>
            </w:pPr>
            <w:r>
              <w:rPr>
                <w:sz w:val="15"/>
              </w:rPr>
              <w:t>LMS fonctionnel de base</w:t>
            </w:r>
          </w:p>
        </w:tc>
      </w:tr>
      <w:tr>
        <w:trPr>
          <w:cantSplit/>
        </w:trPr>
        <w:tc>
          <w:tcPr>
            <w:tcW w:type="dxa" w:w="2606"/>
            <w:vAlign w:val="top"/>
            <w:tcMar>
              <w:top w:w="65" w:type="dxa"/>
              <w:start w:w="65" w:type="dxa"/>
              <w:bottom w:w="65" w:type="dxa"/>
              <w:end w:w="65" w:type="dxa"/>
            </w:tcMar>
          </w:tcPr>
          <w:p>
            <w:pPr>
              <w:pStyle w:val="TableSmall"/>
            </w:pPr>
            <w:r>
              <w:rPr>
                <w:sz w:val="15"/>
              </w:rPr>
              <w:t>4 - Formation institutionnelle</w:t>
            </w:r>
          </w:p>
        </w:tc>
        <w:tc>
          <w:tcPr>
            <w:tcW w:type="dxa" w:w="2606"/>
            <w:vAlign w:val="top"/>
            <w:tcMar>
              <w:top w:w="65" w:type="dxa"/>
              <w:start w:w="65" w:type="dxa"/>
              <w:bottom w:w="65" w:type="dxa"/>
              <w:end w:w="65" w:type="dxa"/>
            </w:tcMar>
          </w:tcPr>
          <w:p>
            <w:pPr>
              <w:pStyle w:val="TableSmall"/>
            </w:pPr>
            <w:r>
              <w:rPr>
                <w:sz w:val="15"/>
              </w:rPr>
              <w:t>Demandes, organisations, cohortes, présence, rapports</w:t>
            </w:r>
          </w:p>
        </w:tc>
        <w:tc>
          <w:tcPr>
            <w:tcW w:type="dxa" w:w="2606"/>
            <w:vAlign w:val="top"/>
            <w:tcMar>
              <w:top w:w="65" w:type="dxa"/>
              <w:start w:w="65" w:type="dxa"/>
              <w:bottom w:w="65" w:type="dxa"/>
              <w:end w:w="65" w:type="dxa"/>
            </w:tcMar>
          </w:tcPr>
          <w:p>
            <w:pPr>
              <w:pStyle w:val="TableSmall"/>
            </w:pPr>
            <w:r>
              <w:rPr>
                <w:sz w:val="15"/>
              </w:rPr>
              <w:t>3–4 sem.</w:t>
            </w:r>
          </w:p>
        </w:tc>
        <w:tc>
          <w:tcPr>
            <w:tcW w:type="dxa" w:w="2606"/>
            <w:vAlign w:val="top"/>
            <w:tcMar>
              <w:top w:w="65" w:type="dxa"/>
              <w:start w:w="65" w:type="dxa"/>
              <w:bottom w:w="65" w:type="dxa"/>
              <w:end w:w="65" w:type="dxa"/>
            </w:tcMar>
          </w:tcPr>
          <w:p>
            <w:pPr>
              <w:pStyle w:val="TableSmall"/>
            </w:pPr>
            <w:r>
              <w:rPr>
                <w:sz w:val="15"/>
              </w:rPr>
              <w:t>Workflow FETRAG complet</w:t>
            </w:r>
          </w:p>
        </w:tc>
      </w:tr>
      <w:tr>
        <w:trPr>
          <w:cantSplit/>
        </w:trPr>
        <w:tc>
          <w:tcPr>
            <w:tcW w:type="dxa" w:w="2606"/>
            <w:vAlign w:val="top"/>
            <w:shd w:fill="F7F9FB"/>
            <w:tcMar>
              <w:top w:w="65" w:type="dxa"/>
              <w:start w:w="65" w:type="dxa"/>
              <w:bottom w:w="65" w:type="dxa"/>
              <w:end w:w="65" w:type="dxa"/>
            </w:tcMar>
          </w:tcPr>
          <w:p>
            <w:pPr>
              <w:pStyle w:val="TableSmall"/>
            </w:pPr>
            <w:r>
              <w:rPr>
                <w:sz w:val="15"/>
              </w:rPr>
              <w:t>5 - Évaluation &amp; certification</w:t>
            </w:r>
          </w:p>
        </w:tc>
        <w:tc>
          <w:tcPr>
            <w:tcW w:type="dxa" w:w="2606"/>
            <w:vAlign w:val="top"/>
            <w:shd w:fill="F7F9FB"/>
            <w:tcMar>
              <w:top w:w="65" w:type="dxa"/>
              <w:start w:w="65" w:type="dxa"/>
              <w:bottom w:w="65" w:type="dxa"/>
              <w:end w:w="65" w:type="dxa"/>
            </w:tcMar>
          </w:tcPr>
          <w:p>
            <w:pPr>
              <w:pStyle w:val="TableSmall"/>
            </w:pPr>
            <w:r>
              <w:rPr>
                <w:sz w:val="15"/>
              </w:rPr>
              <w:t>Quiz, devoirs, banque, critères, certificats/QR</w:t>
            </w:r>
          </w:p>
        </w:tc>
        <w:tc>
          <w:tcPr>
            <w:tcW w:type="dxa" w:w="2606"/>
            <w:vAlign w:val="top"/>
            <w:shd w:fill="F7F9FB"/>
            <w:tcMar>
              <w:top w:w="65" w:type="dxa"/>
              <w:start w:w="65" w:type="dxa"/>
              <w:bottom w:w="65" w:type="dxa"/>
              <w:end w:w="65" w:type="dxa"/>
            </w:tcMar>
          </w:tcPr>
          <w:p>
            <w:pPr>
              <w:pStyle w:val="TableSmall"/>
            </w:pPr>
            <w:r>
              <w:rPr>
                <w:sz w:val="15"/>
              </w:rPr>
              <w:t>3–4 sem.</w:t>
            </w:r>
          </w:p>
        </w:tc>
        <w:tc>
          <w:tcPr>
            <w:tcW w:type="dxa" w:w="2606"/>
            <w:vAlign w:val="top"/>
            <w:shd w:fill="F7F9FB"/>
            <w:tcMar>
              <w:top w:w="65" w:type="dxa"/>
              <w:start w:w="65" w:type="dxa"/>
              <w:bottom w:w="65" w:type="dxa"/>
              <w:end w:w="65" w:type="dxa"/>
            </w:tcMar>
          </w:tcPr>
          <w:p>
            <w:pPr>
              <w:pStyle w:val="TableSmall"/>
            </w:pPr>
            <w:r>
              <w:rPr>
                <w:sz w:val="15"/>
              </w:rPr>
              <w:t>Parcours certifiant</w:t>
            </w:r>
          </w:p>
        </w:tc>
      </w:tr>
      <w:tr>
        <w:trPr>
          <w:cantSplit/>
        </w:trPr>
        <w:tc>
          <w:tcPr>
            <w:tcW w:type="dxa" w:w="2606"/>
            <w:vAlign w:val="top"/>
            <w:tcMar>
              <w:top w:w="65" w:type="dxa"/>
              <w:start w:w="65" w:type="dxa"/>
              <w:bottom w:w="65" w:type="dxa"/>
              <w:end w:w="65" w:type="dxa"/>
            </w:tcMar>
          </w:tcPr>
          <w:p>
            <w:pPr>
              <w:pStyle w:val="TableSmall"/>
            </w:pPr>
            <w:r>
              <w:rPr>
                <w:sz w:val="15"/>
              </w:rPr>
              <w:t>6 - Paiements &amp; notifications</w:t>
            </w:r>
          </w:p>
        </w:tc>
        <w:tc>
          <w:tcPr>
            <w:tcW w:type="dxa" w:w="2606"/>
            <w:vAlign w:val="top"/>
            <w:tcMar>
              <w:top w:w="65" w:type="dxa"/>
              <w:start w:w="65" w:type="dxa"/>
              <w:bottom w:w="65" w:type="dxa"/>
              <w:end w:w="65" w:type="dxa"/>
            </w:tcMar>
          </w:tcPr>
          <w:p>
            <w:pPr>
              <w:pStyle w:val="TableSmall"/>
            </w:pPr>
            <w:r>
              <w:rPr>
                <w:sz w:val="15"/>
              </w:rPr>
              <w:t>PSP, reçus, prise en charge, emails, jobs</w:t>
            </w:r>
          </w:p>
        </w:tc>
        <w:tc>
          <w:tcPr>
            <w:tcW w:type="dxa" w:w="2606"/>
            <w:vAlign w:val="top"/>
            <w:tcMar>
              <w:top w:w="65" w:type="dxa"/>
              <w:start w:w="65" w:type="dxa"/>
              <w:bottom w:w="65" w:type="dxa"/>
              <w:end w:w="65" w:type="dxa"/>
            </w:tcMar>
          </w:tcPr>
          <w:p>
            <w:pPr>
              <w:pStyle w:val="TableSmall"/>
            </w:pPr>
            <w:r>
              <w:rPr>
                <w:sz w:val="15"/>
              </w:rPr>
              <w:t>2–3 sem.</w:t>
            </w:r>
          </w:p>
        </w:tc>
        <w:tc>
          <w:tcPr>
            <w:tcW w:type="dxa" w:w="2606"/>
            <w:vAlign w:val="top"/>
            <w:tcMar>
              <w:top w:w="65" w:type="dxa"/>
              <w:start w:w="65" w:type="dxa"/>
              <w:bottom w:w="65" w:type="dxa"/>
              <w:end w:w="65" w:type="dxa"/>
            </w:tcMar>
          </w:tcPr>
          <w:p>
            <w:pPr>
              <w:pStyle w:val="TableSmall"/>
            </w:pPr>
            <w:r>
              <w:rPr>
                <w:sz w:val="15"/>
              </w:rPr>
              <w:t>Monétisation testée</w:t>
            </w:r>
          </w:p>
        </w:tc>
      </w:tr>
      <w:tr>
        <w:trPr>
          <w:cantSplit/>
        </w:trPr>
        <w:tc>
          <w:tcPr>
            <w:tcW w:type="dxa" w:w="2606"/>
            <w:vAlign w:val="top"/>
            <w:shd w:fill="F7F9FB"/>
            <w:tcMar>
              <w:top w:w="65" w:type="dxa"/>
              <w:start w:w="65" w:type="dxa"/>
              <w:bottom w:w="65" w:type="dxa"/>
              <w:end w:w="65" w:type="dxa"/>
            </w:tcMar>
          </w:tcPr>
          <w:p>
            <w:pPr>
              <w:pStyle w:val="TableSmall"/>
            </w:pPr>
            <w:r>
              <w:rPr>
                <w:sz w:val="15"/>
              </w:rPr>
              <w:t>7 - Hardening &amp; pilote</w:t>
            </w:r>
          </w:p>
        </w:tc>
        <w:tc>
          <w:tcPr>
            <w:tcW w:type="dxa" w:w="2606"/>
            <w:vAlign w:val="top"/>
            <w:shd w:fill="F7F9FB"/>
            <w:tcMar>
              <w:top w:w="65" w:type="dxa"/>
              <w:start w:w="65" w:type="dxa"/>
              <w:bottom w:w="65" w:type="dxa"/>
              <w:end w:w="65" w:type="dxa"/>
            </w:tcMar>
          </w:tcPr>
          <w:p>
            <w:pPr>
              <w:pStyle w:val="TableSmall"/>
            </w:pPr>
            <w:r>
              <w:rPr>
                <w:sz w:val="15"/>
              </w:rPr>
              <w:t>Sécurité, performance, accessibilité, sauvegarde, cohorte pilote</w:t>
            </w:r>
          </w:p>
        </w:tc>
        <w:tc>
          <w:tcPr>
            <w:tcW w:type="dxa" w:w="2606"/>
            <w:vAlign w:val="top"/>
            <w:shd w:fill="F7F9FB"/>
            <w:tcMar>
              <w:top w:w="65" w:type="dxa"/>
              <w:start w:w="65" w:type="dxa"/>
              <w:bottom w:w="65" w:type="dxa"/>
              <w:end w:w="65" w:type="dxa"/>
            </w:tcMar>
          </w:tcPr>
          <w:p>
            <w:pPr>
              <w:pStyle w:val="TableSmall"/>
            </w:pPr>
            <w:r>
              <w:rPr>
                <w:sz w:val="15"/>
              </w:rPr>
              <w:t>2–3 sem.</w:t>
            </w:r>
          </w:p>
        </w:tc>
        <w:tc>
          <w:tcPr>
            <w:tcW w:type="dxa" w:w="2606"/>
            <w:vAlign w:val="top"/>
            <w:shd w:fill="F7F9FB"/>
            <w:tcMar>
              <w:top w:w="65" w:type="dxa"/>
              <w:start w:w="65" w:type="dxa"/>
              <w:bottom w:w="65" w:type="dxa"/>
              <w:end w:w="65" w:type="dxa"/>
            </w:tcMar>
          </w:tcPr>
          <w:p>
            <w:pPr>
              <w:pStyle w:val="TableSmall"/>
            </w:pPr>
            <w:r>
              <w:rPr>
                <w:sz w:val="15"/>
              </w:rPr>
              <w:t>Go-live V1</w:t>
            </w:r>
          </w:p>
        </w:tc>
      </w:tr>
    </w:tbl>
    <w:p>
      <w:pPr>
        <w:spacing w:after="20"/>
      </w:pPr>
    </w:p>
    <w:p>
      <w:r>
        <w:rPr>
          <w:b/>
        </w:rPr>
        <w:t>Ordre de grandeur réaliste pour un développement neuf :</w:t>
      </w:r>
      <w:r>
        <w:t xml:space="preserve"> MVP pilote en environ 14–16 semaines avec travaux parallélisés ; V1 complète en environ 20–24 semaines. Ces durées sont indicatives et doivent être ajustées à la taille de l’équipe et à la disponibilité des contenus.</w:t>
      </w:r>
    </w:p>
    <w:p>
      <w:pPr>
        <w:pStyle w:val="Heading1"/>
      </w:pPr>
      <w:r>
        <w:t>32. Priorisation MVP / après MVP</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0B66B2"/>
            <w:vAlign w:val="center"/>
            <w:tcMar>
              <w:top w:w="70" w:type="dxa"/>
              <w:start w:w="70" w:type="dxa"/>
              <w:bottom w:w="70" w:type="dxa"/>
              <w:end w:w="70" w:type="dxa"/>
            </w:tcMar>
          </w:tcPr>
          <w:p>
            <w:pPr>
              <w:pStyle w:val="TableSmall"/>
            </w:pPr>
            <w:r>
              <w:rPr>
                <w:b/>
                <w:color w:val="FFFFFF"/>
                <w:sz w:val="15"/>
              </w:rPr>
              <w:t>MVP V1</w:t>
            </w:r>
          </w:p>
        </w:tc>
        <w:tc>
          <w:tcPr>
            <w:tcW w:type="dxa" w:w="5213"/>
            <w:shd w:fill="0B66B2"/>
            <w:vAlign w:val="center"/>
            <w:tcMar>
              <w:top w:w="70" w:type="dxa"/>
              <w:start w:w="70" w:type="dxa"/>
              <w:bottom w:w="70" w:type="dxa"/>
              <w:end w:w="70" w:type="dxa"/>
            </w:tcMar>
          </w:tcPr>
          <w:p>
            <w:pPr>
              <w:pStyle w:val="TableSmall"/>
            </w:pPr>
            <w:r>
              <w:rPr>
                <w:b/>
                <w:color w:val="FFFFFF"/>
                <w:sz w:val="15"/>
              </w:rPr>
              <w:t>Phase 2 / option</w:t>
            </w:r>
          </w:p>
        </w:tc>
      </w:tr>
      <w:tr>
        <w:tc>
          <w:tcPr>
            <w:tcW w:type="dxa" w:w="5213"/>
            <w:vAlign w:val="top"/>
            <w:tcMar>
              <w:top w:w="65" w:type="dxa"/>
              <w:start w:w="65" w:type="dxa"/>
              <w:bottom w:w="65" w:type="dxa"/>
              <w:end w:w="65" w:type="dxa"/>
            </w:tcMar>
          </w:tcPr>
          <w:p>
            <w:pPr>
              <w:pStyle w:val="TableSmall"/>
            </w:pPr>
            <w:r>
              <w:rPr>
                <w:sz w:val="15"/>
              </w:rPr>
              <w:t>Vitrine, CMS, actualités, ressources, services, formulaires, SEO</w:t>
            </w:r>
          </w:p>
        </w:tc>
        <w:tc>
          <w:tcPr>
            <w:tcW w:type="dxa" w:w="5213"/>
            <w:vAlign w:val="top"/>
            <w:tcMar>
              <w:top w:w="65" w:type="dxa"/>
              <w:start w:w="65" w:type="dxa"/>
              <w:bottom w:w="65" w:type="dxa"/>
              <w:end w:w="65" w:type="dxa"/>
            </w:tcMar>
          </w:tcPr>
          <w:p>
            <w:pPr>
              <w:pStyle w:val="TableSmall"/>
            </w:pPr>
            <w:r>
              <w:rPr>
                <w:sz w:val="15"/>
              </w:rPr>
              <w:t>Multilingue complet et workflows éditoriaux avancés</w:t>
            </w:r>
          </w:p>
        </w:tc>
      </w:tr>
      <w:tr>
        <w:tc>
          <w:tcPr>
            <w:tcW w:type="dxa" w:w="5213"/>
            <w:vAlign w:val="top"/>
            <w:shd w:fill="F7F9FB"/>
            <w:tcMar>
              <w:top w:w="65" w:type="dxa"/>
              <w:start w:w="65" w:type="dxa"/>
              <w:bottom w:w="65" w:type="dxa"/>
              <w:end w:w="65" w:type="dxa"/>
            </w:tcMar>
          </w:tcPr>
          <w:p>
            <w:pPr>
              <w:pStyle w:val="TableSmall"/>
            </w:pPr>
            <w:r>
              <w:rPr>
                <w:sz w:val="15"/>
              </w:rPr>
              <w:t>SSO, profils, organisations, rôles</w:t>
            </w:r>
          </w:p>
        </w:tc>
        <w:tc>
          <w:tcPr>
            <w:tcW w:type="dxa" w:w="5213"/>
            <w:vAlign w:val="top"/>
            <w:shd w:fill="F7F9FB"/>
            <w:tcMar>
              <w:top w:w="65" w:type="dxa"/>
              <w:start w:w="65" w:type="dxa"/>
              <w:bottom w:w="65" w:type="dxa"/>
              <w:end w:w="65" w:type="dxa"/>
            </w:tcMar>
          </w:tcPr>
          <w:p>
            <w:pPr>
              <w:pStyle w:val="TableSmall"/>
            </w:pPr>
            <w:r>
              <w:rPr>
                <w:sz w:val="15"/>
              </w:rPr>
              <w:t>Fédération d’identité supplémentaire / SAML</w:t>
            </w:r>
          </w:p>
        </w:tc>
      </w:tr>
      <w:tr>
        <w:tc>
          <w:tcPr>
            <w:tcW w:type="dxa" w:w="5213"/>
            <w:vAlign w:val="top"/>
            <w:tcMar>
              <w:top w:w="65" w:type="dxa"/>
              <w:start w:w="65" w:type="dxa"/>
              <w:bottom w:w="65" w:type="dxa"/>
              <w:end w:w="65" w:type="dxa"/>
            </w:tcMar>
          </w:tcPr>
          <w:p>
            <w:pPr>
              <w:pStyle w:val="TableSmall"/>
            </w:pPr>
            <w:r>
              <w:rPr>
                <w:sz w:val="15"/>
              </w:rPr>
              <w:t>Catalogue, cours, leçons, progression</w:t>
            </w:r>
          </w:p>
        </w:tc>
        <w:tc>
          <w:tcPr>
            <w:tcW w:type="dxa" w:w="5213"/>
            <w:vAlign w:val="top"/>
            <w:tcMar>
              <w:top w:w="65" w:type="dxa"/>
              <w:start w:w="65" w:type="dxa"/>
              <w:bottom w:w="65" w:type="dxa"/>
              <w:end w:w="65" w:type="dxa"/>
            </w:tcMar>
          </w:tcPr>
          <w:p>
            <w:pPr>
              <w:pStyle w:val="TableSmall"/>
            </w:pPr>
            <w:r>
              <w:rPr>
                <w:sz w:val="15"/>
              </w:rPr>
              <w:t>Application mobile native</w:t>
            </w:r>
          </w:p>
        </w:tc>
      </w:tr>
      <w:tr>
        <w:tc>
          <w:tcPr>
            <w:tcW w:type="dxa" w:w="5213"/>
            <w:vAlign w:val="top"/>
            <w:shd w:fill="F7F9FB"/>
            <w:tcMar>
              <w:top w:w="65" w:type="dxa"/>
              <w:start w:w="65" w:type="dxa"/>
              <w:bottom w:w="65" w:type="dxa"/>
              <w:end w:w="65" w:type="dxa"/>
            </w:tcMar>
          </w:tcPr>
          <w:p>
            <w:pPr>
              <w:pStyle w:val="TableSmall"/>
            </w:pPr>
            <w:r>
              <w:rPr>
                <w:sz w:val="15"/>
              </w:rPr>
              <w:t>Quiz principaux, devoirs, présence, certificats</w:t>
            </w:r>
          </w:p>
        </w:tc>
        <w:tc>
          <w:tcPr>
            <w:tcW w:type="dxa" w:w="5213"/>
            <w:vAlign w:val="top"/>
            <w:shd w:fill="F7F9FB"/>
            <w:tcMar>
              <w:top w:w="65" w:type="dxa"/>
              <w:start w:w="65" w:type="dxa"/>
              <w:bottom w:w="65" w:type="dxa"/>
              <w:end w:w="65" w:type="dxa"/>
            </w:tcMar>
          </w:tcPr>
          <w:p>
            <w:pPr>
              <w:pStyle w:val="TableSmall"/>
            </w:pPr>
            <w:r>
              <w:rPr>
                <w:sz w:val="15"/>
              </w:rPr>
              <w:t>Proctoring, LRS/xAPI avancé</w:t>
            </w:r>
          </w:p>
        </w:tc>
      </w:tr>
      <w:tr>
        <w:tc>
          <w:tcPr>
            <w:tcW w:type="dxa" w:w="5213"/>
            <w:vAlign w:val="top"/>
            <w:tcMar>
              <w:top w:w="65" w:type="dxa"/>
              <w:start w:w="65" w:type="dxa"/>
              <w:bottom w:w="65" w:type="dxa"/>
              <w:end w:w="65" w:type="dxa"/>
            </w:tcMar>
          </w:tcPr>
          <w:p>
            <w:pPr>
              <w:pStyle w:val="TableSmall"/>
            </w:pPr>
            <w:r>
              <w:rPr>
                <w:sz w:val="15"/>
              </w:rPr>
              <w:t>Workflow demande de formation</w:t>
            </w:r>
          </w:p>
        </w:tc>
        <w:tc>
          <w:tcPr>
            <w:tcW w:type="dxa" w:w="5213"/>
            <w:vAlign w:val="top"/>
            <w:tcMar>
              <w:top w:w="65" w:type="dxa"/>
              <w:start w:w="65" w:type="dxa"/>
              <w:bottom w:w="65" w:type="dxa"/>
              <w:end w:w="65" w:type="dxa"/>
            </w:tcMar>
          </w:tcPr>
          <w:p>
            <w:pPr>
              <w:pStyle w:val="TableSmall"/>
            </w:pPr>
            <w:r>
              <w:rPr>
                <w:sz w:val="15"/>
              </w:rPr>
              <w:t>CRM syndical/adhésion complète</w:t>
            </w:r>
          </w:p>
        </w:tc>
      </w:tr>
      <w:tr>
        <w:tc>
          <w:tcPr>
            <w:tcW w:type="dxa" w:w="5213"/>
            <w:vAlign w:val="top"/>
            <w:shd w:fill="F7F9FB"/>
            <w:tcMar>
              <w:top w:w="65" w:type="dxa"/>
              <w:start w:w="65" w:type="dxa"/>
              <w:bottom w:w="65" w:type="dxa"/>
              <w:end w:w="65" w:type="dxa"/>
            </w:tcMar>
          </w:tcPr>
          <w:p>
            <w:pPr>
              <w:pStyle w:val="TableSmall"/>
            </w:pPr>
            <w:r>
              <w:rPr>
                <w:sz w:val="15"/>
              </w:rPr>
              <w:t>Email + notifications internes</w:t>
            </w:r>
          </w:p>
        </w:tc>
        <w:tc>
          <w:tcPr>
            <w:tcW w:type="dxa" w:w="5213"/>
            <w:vAlign w:val="top"/>
            <w:shd w:fill="F7F9FB"/>
            <w:tcMar>
              <w:top w:w="65" w:type="dxa"/>
              <w:start w:w="65" w:type="dxa"/>
              <w:bottom w:w="65" w:type="dxa"/>
              <w:end w:w="65" w:type="dxa"/>
            </w:tcMar>
          </w:tcPr>
          <w:p>
            <w:pPr>
              <w:pStyle w:val="TableSmall"/>
            </w:pPr>
            <w:r>
              <w:rPr>
                <w:sz w:val="15"/>
              </w:rPr>
              <w:t>SMS/WhatsApp</w:t>
            </w:r>
          </w:p>
        </w:tc>
      </w:tr>
      <w:tr>
        <w:tc>
          <w:tcPr>
            <w:tcW w:type="dxa" w:w="5213"/>
            <w:vAlign w:val="top"/>
            <w:tcMar>
              <w:top w:w="65" w:type="dxa"/>
              <w:start w:w="65" w:type="dxa"/>
              <w:bottom w:w="65" w:type="dxa"/>
              <w:end w:w="65" w:type="dxa"/>
            </w:tcMar>
          </w:tcPr>
          <w:p>
            <w:pPr>
              <w:pStyle w:val="TableSmall"/>
            </w:pPr>
            <w:r>
              <w:rPr>
                <w:sz w:val="15"/>
              </w:rPr>
              <w:t>Paiement PSP + prise en charge</w:t>
            </w:r>
          </w:p>
        </w:tc>
        <w:tc>
          <w:tcPr>
            <w:tcW w:type="dxa" w:w="5213"/>
            <w:vAlign w:val="top"/>
            <w:tcMar>
              <w:top w:w="65" w:type="dxa"/>
              <w:start w:w="65" w:type="dxa"/>
              <w:bottom w:w="65" w:type="dxa"/>
              <w:end w:w="65" w:type="dxa"/>
            </w:tcMar>
          </w:tcPr>
          <w:p>
            <w:pPr>
              <w:pStyle w:val="TableSmall"/>
            </w:pPr>
            <w:r>
              <w:rPr>
                <w:sz w:val="15"/>
              </w:rPr>
              <w:t>Abonnements complexes / marketplace</w:t>
            </w:r>
          </w:p>
        </w:tc>
      </w:tr>
      <w:tr>
        <w:tc>
          <w:tcPr>
            <w:tcW w:type="dxa" w:w="5213"/>
            <w:vAlign w:val="top"/>
            <w:shd w:fill="F7F9FB"/>
            <w:tcMar>
              <w:top w:w="65" w:type="dxa"/>
              <w:start w:w="65" w:type="dxa"/>
              <w:bottom w:w="65" w:type="dxa"/>
              <w:end w:w="65" w:type="dxa"/>
            </w:tcMar>
          </w:tcPr>
          <w:p>
            <w:pPr>
              <w:pStyle w:val="TableSmall"/>
            </w:pPr>
            <w:r>
              <w:rPr>
                <w:sz w:val="15"/>
              </w:rPr>
              <w:t>PostgreSQL FTS</w:t>
            </w:r>
          </w:p>
        </w:tc>
        <w:tc>
          <w:tcPr>
            <w:tcW w:type="dxa" w:w="5213"/>
            <w:vAlign w:val="top"/>
            <w:shd w:fill="F7F9FB"/>
            <w:tcMar>
              <w:top w:w="65" w:type="dxa"/>
              <w:start w:w="65" w:type="dxa"/>
              <w:bottom w:w="65" w:type="dxa"/>
              <w:end w:w="65" w:type="dxa"/>
            </w:tcMar>
          </w:tcPr>
          <w:p>
            <w:pPr>
              <w:pStyle w:val="TableSmall"/>
            </w:pPr>
            <w:r>
              <w:rPr>
                <w:sz w:val="15"/>
              </w:rPr>
              <w:t>Meilisearch/Elastic si volumétrie l’exige</w:t>
            </w:r>
          </w:p>
        </w:tc>
      </w:tr>
      <w:tr>
        <w:tc>
          <w:tcPr>
            <w:tcW w:type="dxa" w:w="5213"/>
            <w:vAlign w:val="top"/>
            <w:tcMar>
              <w:top w:w="65" w:type="dxa"/>
              <w:start w:w="65" w:type="dxa"/>
              <w:bottom w:w="65" w:type="dxa"/>
              <w:end w:w="65" w:type="dxa"/>
            </w:tcMar>
          </w:tcPr>
          <w:p>
            <w:pPr>
              <w:pStyle w:val="TableSmall"/>
            </w:pPr>
            <w:r>
              <w:rPr>
                <w:sz w:val="15"/>
              </w:rPr>
              <w:t>Lien de visio externe</w:t>
            </w:r>
          </w:p>
        </w:tc>
        <w:tc>
          <w:tcPr>
            <w:tcW w:type="dxa" w:w="5213"/>
            <w:vAlign w:val="top"/>
            <w:tcMar>
              <w:top w:w="65" w:type="dxa"/>
              <w:start w:w="65" w:type="dxa"/>
              <w:bottom w:w="65" w:type="dxa"/>
              <w:end w:w="65" w:type="dxa"/>
            </w:tcMar>
          </w:tcPr>
          <w:p>
            <w:pPr>
              <w:pStyle w:val="TableSmall"/>
            </w:pPr>
            <w:r>
              <w:rPr>
                <w:sz w:val="15"/>
              </w:rPr>
              <w:t>Visio intégrée / streaming propriétaire</w:t>
            </w:r>
          </w:p>
        </w:tc>
      </w:tr>
      <w:tr>
        <w:tc>
          <w:tcPr>
            <w:tcW w:type="dxa" w:w="5213"/>
            <w:vAlign w:val="top"/>
            <w:shd w:fill="F7F9FB"/>
            <w:tcMar>
              <w:top w:w="65" w:type="dxa"/>
              <w:start w:w="65" w:type="dxa"/>
              <w:bottom w:w="65" w:type="dxa"/>
              <w:end w:w="65" w:type="dxa"/>
            </w:tcMar>
          </w:tcPr>
          <w:p>
            <w:pPr>
              <w:pStyle w:val="TableSmall"/>
            </w:pPr>
            <w:r>
              <w:rPr>
                <w:sz w:val="15"/>
              </w:rPr>
              <w:t>H5P embarqué ou import simple</w:t>
            </w:r>
          </w:p>
        </w:tc>
        <w:tc>
          <w:tcPr>
            <w:tcW w:type="dxa" w:w="5213"/>
            <w:vAlign w:val="top"/>
            <w:shd w:fill="F7F9FB"/>
            <w:tcMar>
              <w:top w:w="65" w:type="dxa"/>
              <w:start w:w="65" w:type="dxa"/>
              <w:bottom w:w="65" w:type="dxa"/>
              <w:end w:w="65" w:type="dxa"/>
            </w:tcMar>
          </w:tcPr>
          <w:p>
            <w:pPr>
              <w:pStyle w:val="TableSmall"/>
            </w:pPr>
            <w:r>
              <w:rPr>
                <w:sz w:val="15"/>
              </w:rPr>
              <w:t>Éditeur H5P avancé / SCORM complet si nécessaire</w:t>
            </w:r>
          </w:p>
        </w:tc>
      </w:tr>
    </w:tbl>
    <w:p>
      <w:pPr>
        <w:spacing w:after="20"/>
      </w:pPr>
    </w:p>
    <w:p>
      <w:pPr>
        <w:pStyle w:val="Heading1"/>
      </w:pPr>
      <w:r>
        <w:t>33. Livrables</w:t>
      </w:r>
    </w:p>
    <w:p>
      <w:pPr>
        <w:spacing w:after="40"/>
        <w:ind w:left="312" w:hanging="312"/>
      </w:pPr>
      <w:r>
        <w:rPr>
          <w:b w:val="0"/>
        </w:rPr>
        <w:t xml:space="preserve">1. </w:t>
      </w:r>
      <w:r>
        <w:t>Monorepo Git complet avec historique et conventions de contribution.</w:t>
      </w:r>
    </w:p>
    <w:p>
      <w:pPr>
        <w:spacing w:after="40"/>
        <w:ind w:left="312" w:hanging="312"/>
      </w:pPr>
      <w:r>
        <w:rPr>
          <w:b w:val="0"/>
        </w:rPr>
        <w:t xml:space="preserve">2. </w:t>
      </w:r>
      <w:r>
        <w:t xml:space="preserve">Applications </w:t>
      </w:r>
      <w:r>
        <w:rPr>
          <w:rFonts w:ascii="Consolas" w:hAnsi="Consolas"/>
          <w:sz w:val="17"/>
        </w:rPr>
        <w:t>web</w:t>
      </w:r>
      <w:r>
        <w:t xml:space="preserve">, </w:t>
      </w:r>
      <w:r>
        <w:rPr>
          <w:rFonts w:ascii="Consolas" w:hAnsi="Consolas"/>
          <w:sz w:val="17"/>
        </w:rPr>
        <w:t>lms</w:t>
      </w:r>
      <w:r>
        <w:t xml:space="preserve">, </w:t>
      </w:r>
      <w:r>
        <w:rPr>
          <w:rFonts w:ascii="Consolas" w:hAnsi="Consolas"/>
          <w:sz w:val="17"/>
        </w:rPr>
        <w:t>api</w:t>
      </w:r>
      <w:r>
        <w:t xml:space="preserve">, </w:t>
      </w:r>
      <w:r>
        <w:rPr>
          <w:rFonts w:ascii="Consolas" w:hAnsi="Consolas"/>
          <w:sz w:val="17"/>
        </w:rPr>
        <w:t>worker</w:t>
      </w:r>
      <w:r>
        <w:t xml:space="preserve"> configurées.</w:t>
      </w:r>
    </w:p>
    <w:p>
      <w:pPr>
        <w:spacing w:after="40"/>
        <w:ind w:left="312" w:hanging="312"/>
      </w:pPr>
      <w:r>
        <w:rPr>
          <w:b w:val="0"/>
        </w:rPr>
        <w:t xml:space="preserve">3. </w:t>
      </w:r>
      <w:r>
        <w:t>Design system FETRAG et bibliothèque UI partagée.</w:t>
      </w:r>
    </w:p>
    <w:p>
      <w:pPr>
        <w:spacing w:after="40"/>
        <w:ind w:left="312" w:hanging="312"/>
      </w:pPr>
      <w:r>
        <w:rPr>
          <w:b w:val="0"/>
        </w:rPr>
        <w:t xml:space="preserve">4. </w:t>
      </w:r>
      <w:r>
        <w:t>Schéma PostgreSQL, migrations et données seed du catalogue initial.</w:t>
      </w:r>
    </w:p>
    <w:p>
      <w:pPr>
        <w:spacing w:after="40"/>
        <w:ind w:left="312" w:hanging="312"/>
      </w:pPr>
      <w:r>
        <w:rPr>
          <w:b w:val="0"/>
        </w:rPr>
        <w:t xml:space="preserve">5. </w:t>
      </w:r>
      <w:r>
        <w:t>Intégration OIDC/SSO et matrice des rôles.</w:t>
      </w:r>
    </w:p>
    <w:p>
      <w:pPr>
        <w:spacing w:after="40"/>
        <w:ind w:left="312" w:hanging="312"/>
      </w:pPr>
      <w:r>
        <w:rPr>
          <w:b w:val="0"/>
        </w:rPr>
        <w:t xml:space="preserve">6. </w:t>
      </w:r>
      <w:r>
        <w:t>CMS vitrine et back-office.</w:t>
      </w:r>
    </w:p>
    <w:p>
      <w:pPr>
        <w:spacing w:after="40"/>
        <w:ind w:left="312" w:hanging="312"/>
      </w:pPr>
      <w:r>
        <w:rPr>
          <w:b w:val="0"/>
        </w:rPr>
        <w:t xml:space="preserve">7. </w:t>
      </w:r>
      <w:r>
        <w:t>Moteur LMS, évaluations, cohortes, workflow institutionnel, présence, certification.</w:t>
      </w:r>
    </w:p>
    <w:p>
      <w:pPr>
        <w:spacing w:after="40"/>
        <w:ind w:left="312" w:hanging="312"/>
      </w:pPr>
      <w:r>
        <w:rPr>
          <w:b w:val="0"/>
        </w:rPr>
        <w:t xml:space="preserve">8. </w:t>
      </w:r>
      <w:r>
        <w:t>Adaptateurs paiement, stockage, email et notifications.</w:t>
      </w:r>
    </w:p>
    <w:p>
      <w:pPr>
        <w:spacing w:after="40"/>
        <w:ind w:left="312" w:hanging="312"/>
      </w:pPr>
      <w:r>
        <w:rPr>
          <w:b w:val="0"/>
        </w:rPr>
        <w:t xml:space="preserve">9. </w:t>
      </w:r>
      <w:r>
        <w:t>Documentation OpenAPI et schémas de contrats.</w:t>
      </w:r>
    </w:p>
    <w:p>
      <w:pPr>
        <w:spacing w:after="40"/>
        <w:ind w:left="312" w:hanging="312"/>
      </w:pPr>
      <w:r>
        <w:rPr>
          <w:b w:val="0"/>
        </w:rPr>
        <w:t xml:space="preserve">10. </w:t>
      </w:r>
      <w:r>
        <w:t>Suite de tests unitaires/intégration/E2E.</w:t>
      </w:r>
    </w:p>
    <w:p>
      <w:pPr>
        <w:spacing w:after="40"/>
        <w:ind w:left="312" w:hanging="312"/>
      </w:pPr>
      <w:r>
        <w:rPr>
          <w:b w:val="0"/>
        </w:rPr>
        <w:t xml:space="preserve">11. </w:t>
      </w:r>
      <w:r>
        <w:t>CI/CD, Docker, fichiers d’infrastructure et procédures de déploiement.</w:t>
      </w:r>
    </w:p>
    <w:p>
      <w:pPr>
        <w:spacing w:after="40"/>
        <w:ind w:left="312" w:hanging="312"/>
      </w:pPr>
      <w:r>
        <w:rPr>
          <w:b w:val="0"/>
        </w:rPr>
        <w:t xml:space="preserve">12. </w:t>
      </w:r>
      <w:r>
        <w:t>Plan de sauvegarde/restauration et runbooks d’exploitation.</w:t>
      </w:r>
    </w:p>
    <w:p>
      <w:pPr>
        <w:spacing w:after="40"/>
        <w:ind w:left="312" w:hanging="312"/>
      </w:pPr>
      <w:r>
        <w:rPr>
          <w:b w:val="0"/>
        </w:rPr>
        <w:t xml:space="preserve">13. </w:t>
      </w:r>
      <w:r>
        <w:t>Documentation administrateur, éditeur, coordinateur, formateur et support.</w:t>
      </w:r>
    </w:p>
    <w:p>
      <w:pPr>
        <w:spacing w:after="40"/>
        <w:ind w:left="312" w:hanging="312"/>
      </w:pPr>
      <w:r>
        <w:rPr>
          <w:b w:val="0"/>
        </w:rPr>
        <w:t xml:space="preserve">14. </w:t>
      </w:r>
      <w:r>
        <w:t>Guide de prise en main de Claude Code / conventions du dépôt.</w:t>
      </w:r>
    </w:p>
    <w:p>
      <w:pPr>
        <w:spacing w:after="40"/>
        <w:ind w:left="312" w:hanging="312"/>
      </w:pPr>
      <w:r>
        <w:rPr>
          <w:b w:val="0"/>
        </w:rPr>
        <w:t xml:space="preserve">15. </w:t>
      </w:r>
      <w:r>
        <w:t>Procès-verbal de recette, rapport de sécurité, performance et accessibilité.</w:t>
      </w:r>
    </w:p>
    <w:p>
      <w:pPr>
        <w:spacing w:after="40"/>
        <w:ind w:left="312" w:hanging="312"/>
      </w:pPr>
      <w:r>
        <w:rPr>
          <w:b w:val="0"/>
        </w:rPr>
        <w:t xml:space="preserve">16. </w:t>
      </w:r>
      <w:r>
        <w:t>Plan de maintenance, SLA, réversibilité et transfert de compétences.</w:t>
      </w:r>
    </w:p>
    <w:p>
      <w:pPr>
        <w:pStyle w:val="Heading1"/>
      </w:pPr>
      <w:r>
        <w:t>34. Éléments à chiffrer</w:t>
      </w:r>
    </w:p>
    <w:p>
      <w:pPr>
        <w:pStyle w:val="ListBullet"/>
        <w:spacing w:after="40"/>
      </w:pPr>
      <w:r>
        <w:t>Cadrage fonctionnel/UX/architecture.</w:t>
      </w:r>
    </w:p>
    <w:p>
      <w:pPr>
        <w:pStyle w:val="ListBullet"/>
        <w:spacing w:after="40"/>
      </w:pPr>
      <w:r>
        <w:t>Développement portail, CMS, LMS, API et worker.</w:t>
      </w:r>
    </w:p>
    <w:p>
      <w:pPr>
        <w:pStyle w:val="ListBullet"/>
        <w:spacing w:after="40"/>
      </w:pPr>
      <w:r>
        <w:t>Identité/SSO et éventuel IdP managé ou auto-hébergé.</w:t>
      </w:r>
    </w:p>
    <w:p>
      <w:pPr>
        <w:pStyle w:val="ListBullet"/>
        <w:spacing w:after="40"/>
      </w:pPr>
      <w:r>
        <w:t>Hébergement, PostgreSQL, Redis, S3, CDN, supervision et sauvegardes.</w:t>
      </w:r>
    </w:p>
    <w:p>
      <w:pPr>
        <w:pStyle w:val="ListBullet"/>
        <w:spacing w:after="40"/>
      </w:pPr>
      <w:r>
        <w:t>Paiements : intégration + frais PSP distincts.</w:t>
      </w:r>
    </w:p>
    <w:p>
      <w:pPr>
        <w:pStyle w:val="ListBullet"/>
        <w:spacing w:after="40"/>
      </w:pPr>
      <w:r>
        <w:t>Email/SMS/WhatsApp et stockage vidéo.</w:t>
      </w:r>
    </w:p>
    <w:p>
      <w:pPr>
        <w:pStyle w:val="ListBullet"/>
        <w:spacing w:after="40"/>
      </w:pPr>
      <w:r>
        <w:t>Production pédagogique des dix modules, chiffrée séparément du logiciel.</w:t>
      </w:r>
    </w:p>
    <w:p>
      <w:pPr>
        <w:pStyle w:val="ListBullet"/>
        <w:spacing w:after="40"/>
      </w:pPr>
      <w:r>
        <w:t>Formation des administrateurs, formateurs et support.</w:t>
      </w:r>
    </w:p>
    <w:p>
      <w:pPr>
        <w:pStyle w:val="ListBullet"/>
        <w:spacing w:after="40"/>
      </w:pPr>
      <w:r>
        <w:t>Maintenance corrective, préventive et évolutive.</w:t>
      </w:r>
    </w:p>
    <w:p>
      <w:pPr>
        <w:pStyle w:val="ListBullet"/>
        <w:spacing w:after="40"/>
      </w:pPr>
      <w:r>
        <w:t>Audit de sécurité, accessibilité et tests de charge.</w:t>
      </w:r>
    </w:p>
    <w:p>
      <w:pPr>
        <w:pStyle w:val="Heading1"/>
      </w:pPr>
      <w:r>
        <w:t>35. Hors périmètre initial sauf décision explicite</w:t>
      </w:r>
    </w:p>
    <w:p>
      <w:pPr>
        <w:pStyle w:val="ListBullet"/>
        <w:spacing w:after="40"/>
      </w:pPr>
      <w:r>
        <w:t>Application mobile native iOS/Android.</w:t>
      </w:r>
    </w:p>
    <w:p>
      <w:pPr>
        <w:pStyle w:val="ListBullet"/>
        <w:spacing w:after="40"/>
      </w:pPr>
      <w:r>
        <w:t>Centre d’appels.</w:t>
      </w:r>
    </w:p>
    <w:p>
      <w:pPr>
        <w:pStyle w:val="ListBullet"/>
        <w:spacing w:after="40"/>
      </w:pPr>
      <w:r>
        <w:t>Conseil juridique personnalisé automatisé.</w:t>
      </w:r>
    </w:p>
    <w:p>
      <w:pPr>
        <w:pStyle w:val="ListBullet"/>
        <w:spacing w:after="40"/>
      </w:pPr>
      <w:r>
        <w:t>Rédaction complète des contenus pédagogiques des dix modules.</w:t>
      </w:r>
    </w:p>
    <w:p>
      <w:pPr>
        <w:pStyle w:val="ListBullet"/>
        <w:spacing w:after="40"/>
      </w:pPr>
      <w:r>
        <w:t>Proctoring vidéo avancé.</w:t>
      </w:r>
    </w:p>
    <w:p>
      <w:pPr>
        <w:pStyle w:val="ListBullet"/>
        <w:spacing w:after="40"/>
      </w:pPr>
      <w:r>
        <w:t>Marketplace multi-vendeurs.</w:t>
      </w:r>
    </w:p>
    <w:p>
      <w:pPr>
        <w:pStyle w:val="ListBullet"/>
        <w:spacing w:after="40"/>
      </w:pPr>
      <w:r>
        <w:t>CRM d’adhésion syndicale complet et comptabilité générale.</w:t>
      </w:r>
    </w:p>
    <w:p>
      <w:pPr>
        <w:pStyle w:val="ListBullet"/>
        <w:spacing w:after="40"/>
      </w:pPr>
      <w:r>
        <w:t>Visioconférence propriétaire auto-hébergée à grande échelle.</w:t>
      </w:r>
    </w:p>
    <w:p>
      <w:pPr>
        <w:pStyle w:val="Heading1"/>
      </w:pPr>
      <w:r>
        <w:t>36. Décisions à verrouiller au cadrage</w:t>
      </w:r>
    </w:p>
    <w:p>
      <w:pPr>
        <w:spacing w:after="40"/>
        <w:ind w:left="312" w:hanging="312"/>
      </w:pPr>
      <w:r>
        <w:rPr>
          <w:b w:val="0"/>
        </w:rPr>
        <w:t xml:space="preserve">1. </w:t>
      </w:r>
      <w:r>
        <w:t>Fournisseur d’identité OIDC et politique MFA.</w:t>
      </w:r>
    </w:p>
    <w:p>
      <w:pPr>
        <w:spacing w:after="40"/>
        <w:ind w:left="312" w:hanging="312"/>
      </w:pPr>
      <w:r>
        <w:rPr>
          <w:b w:val="0"/>
        </w:rPr>
        <w:t xml:space="preserve">2. </w:t>
      </w:r>
      <w:r>
        <w:t>PSP et opérateurs mobile money à intégrer au Gabon.</w:t>
      </w:r>
    </w:p>
    <w:p>
      <w:pPr>
        <w:spacing w:after="40"/>
        <w:ind w:left="312" w:hanging="312"/>
      </w:pPr>
      <w:r>
        <w:rPr>
          <w:b w:val="0"/>
        </w:rPr>
        <w:t xml:space="preserve">3. </w:t>
      </w:r>
      <w:r>
        <w:t>Hébergement : cloud managé, dédié ou hybride ; localisation et politique de données.</w:t>
      </w:r>
    </w:p>
    <w:p>
      <w:pPr>
        <w:spacing w:after="40"/>
        <w:ind w:left="312" w:hanging="312"/>
      </w:pPr>
      <w:r>
        <w:rPr>
          <w:b w:val="0"/>
        </w:rPr>
        <w:t xml:space="preserve">4. </w:t>
      </w:r>
      <w:r>
        <w:t>Règles exactes de certification et d’expiration/révocation.</w:t>
      </w:r>
    </w:p>
    <w:p>
      <w:pPr>
        <w:spacing w:after="40"/>
        <w:ind w:left="312" w:hanging="312"/>
      </w:pPr>
      <w:r>
        <w:rPr>
          <w:b w:val="0"/>
        </w:rPr>
        <w:t xml:space="preserve">5. </w:t>
      </w:r>
      <w:r>
        <w:t>Politique de prix, membres/non-membres, organisations, exonérations et sponsoring.</w:t>
      </w:r>
    </w:p>
    <w:p>
      <w:pPr>
        <w:spacing w:after="40"/>
        <w:ind w:left="312" w:hanging="312"/>
      </w:pPr>
      <w:r>
        <w:rPr>
          <w:b w:val="0"/>
        </w:rPr>
        <w:t xml:space="preserve">6. </w:t>
      </w:r>
      <w:r>
        <w:t>Solution de classe virtuelle et stratégie de replay.</w:t>
      </w:r>
    </w:p>
    <w:p>
      <w:pPr>
        <w:spacing w:after="40"/>
        <w:ind w:left="312" w:hanging="312"/>
      </w:pPr>
      <w:r>
        <w:rPr>
          <w:b w:val="0"/>
        </w:rPr>
        <w:t xml:space="preserve">7. </w:t>
      </w:r>
      <w:r>
        <w:t>Limites fichiers, quotas stockage et politique vidéo.</w:t>
      </w:r>
    </w:p>
    <w:p>
      <w:pPr>
        <w:spacing w:after="40"/>
        <w:ind w:left="312" w:hanging="312"/>
      </w:pPr>
      <w:r>
        <w:rPr>
          <w:b w:val="0"/>
        </w:rPr>
        <w:t xml:space="preserve">8. </w:t>
      </w:r>
      <w:r>
        <w:t>Durées de conservation des données et pièces.</w:t>
      </w:r>
    </w:p>
    <w:p>
      <w:pPr>
        <w:spacing w:after="40"/>
        <w:ind w:left="312" w:hanging="312"/>
      </w:pPr>
      <w:r>
        <w:rPr>
          <w:b w:val="0"/>
        </w:rPr>
        <w:t xml:space="preserve">9. </w:t>
      </w:r>
      <w:r>
        <w:t>Niveau de multilingue au lancement.</w:t>
      </w:r>
    </w:p>
    <w:p>
      <w:pPr>
        <w:spacing w:after="40"/>
        <w:ind w:left="312" w:hanging="312"/>
      </w:pPr>
      <w:r>
        <w:rPr>
          <w:b w:val="0"/>
        </w:rPr>
        <w:t xml:space="preserve">10. </w:t>
      </w:r>
      <w:r>
        <w:t>Périmètre exact H5P/SCORM/xAPI de la V1.</w:t>
      </w:r>
    </w:p>
    <w:p>
      <w:pPr>
        <w:spacing w:after="40"/>
        <w:ind w:left="312" w:hanging="312"/>
      </w:pPr>
      <w:r>
        <w:rPr>
          <w:b w:val="0"/>
        </w:rPr>
        <w:t xml:space="preserve">11. </w:t>
      </w:r>
      <w:r>
        <w:t>Contenus existants à migrer vers la vitrine.</w:t>
      </w:r>
    </w:p>
    <w:p>
      <w:pPr>
        <w:spacing w:after="40"/>
        <w:ind w:left="312" w:hanging="312"/>
      </w:pPr>
      <w:r>
        <w:rPr>
          <w:b w:val="0"/>
        </w:rPr>
        <w:t xml:space="preserve">12. </w:t>
      </w:r>
      <w:r>
        <w:t>Objectifs contractuels SLA, RPO et RTO.</w:t>
      </w:r>
    </w:p>
    <w:p>
      <w:pPr>
        <w:pStyle w:val="Heading1"/>
      </w:pPr>
      <w:r>
        <w:t>37. Règles de réalisation avec Claude Code</w:t>
      </w:r>
    </w:p>
    <w:p>
      <w:r>
        <w:t xml:space="preserve">Le présent cahier des charges doit être placé dans </w:t>
      </w:r>
      <w:r>
        <w:rPr>
          <w:rFonts w:ascii="Consolas" w:hAnsi="Consolas"/>
          <w:sz w:val="17"/>
        </w:rPr>
        <w:t>/docs/specs/FETRAG_CDC_UNIFIE.md</w:t>
      </w:r>
      <w:r>
        <w:t xml:space="preserve"> et traité comme source de vérité. Claude Code ne doit pas « improviser » des fonctions métier : toute évolution non décrite doit être ajoutée au backlog et, si elle modifie l’architecture, faire l’objet d’un ADR.</w:t>
      </w:r>
    </w:p>
    <w:p>
      <w:pPr>
        <w:pStyle w:val="ListBullet"/>
        <w:spacing w:after="40"/>
      </w:pPr>
      <w:r>
        <w:t>Commencer par le socle monorepo et les conventions, jamais par une page isolée.</w:t>
      </w:r>
    </w:p>
    <w:p>
      <w:pPr>
        <w:pStyle w:val="ListBullet"/>
        <w:spacing w:after="40"/>
      </w:pPr>
      <w:r>
        <w:t>Créer une branche/PR par epic ou fonctionnalité significative.</w:t>
      </w:r>
    </w:p>
    <w:p>
      <w:pPr>
        <w:pStyle w:val="ListBullet"/>
        <w:spacing w:after="40"/>
      </w:pPr>
      <w:r>
        <w:t>Avant code : écrire les critères d’acceptation et les tests attendus.</w:t>
      </w:r>
    </w:p>
    <w:p>
      <w:pPr>
        <w:pStyle w:val="ListBullet"/>
        <w:spacing w:after="40"/>
      </w:pPr>
      <w:r>
        <w:t xml:space="preserve">TypeScript </w:t>
      </w:r>
      <w:r>
        <w:rPr>
          <w:rFonts w:ascii="Consolas" w:hAnsi="Consolas"/>
          <w:sz w:val="17"/>
        </w:rPr>
        <w:t>strict</w:t>
      </w:r>
      <w:r>
        <w:t xml:space="preserve"> ; pas de </w:t>
      </w:r>
      <w:r>
        <w:rPr>
          <w:rFonts w:ascii="Consolas" w:hAnsi="Consolas"/>
          <w:sz w:val="17"/>
        </w:rPr>
        <w:t>any</w:t>
      </w:r>
      <w:r>
        <w:t xml:space="preserve"> sans justification locale.</w:t>
      </w:r>
    </w:p>
    <w:p>
      <w:pPr>
        <w:pStyle w:val="ListBullet"/>
        <w:spacing w:after="40"/>
      </w:pPr>
      <w:r>
        <w:t>Validation des entrées au bord du système ; jamais faire confiance au payload client.</w:t>
      </w:r>
    </w:p>
    <w:p>
      <w:pPr>
        <w:pStyle w:val="ListBullet"/>
        <w:spacing w:after="40"/>
      </w:pPr>
      <w:r>
        <w:t>Pas d’accès direct base depuis le navigateur ; toutes les actions sensibles passent côté serveur/API.</w:t>
      </w:r>
    </w:p>
    <w:p>
      <w:pPr>
        <w:pStyle w:val="ListBullet"/>
        <w:spacing w:after="40"/>
      </w:pPr>
      <w:r>
        <w:t xml:space="preserve">Pas de duplication des types métier entre web, LMS et API : utiliser </w:t>
      </w:r>
      <w:r>
        <w:rPr>
          <w:rFonts w:ascii="Consolas" w:hAnsi="Consolas"/>
          <w:sz w:val="17"/>
        </w:rPr>
        <w:t>packages/contracts</w:t>
      </w:r>
      <w:r>
        <w:t>.</w:t>
      </w:r>
    </w:p>
    <w:p>
      <w:pPr>
        <w:pStyle w:val="ListBullet"/>
        <w:spacing w:after="40"/>
      </w:pPr>
      <w:r>
        <w:t>Pas de logique métier dans les composants UI.</w:t>
      </w:r>
    </w:p>
    <w:p>
      <w:pPr>
        <w:pStyle w:val="ListBullet"/>
        <w:spacing w:after="40"/>
      </w:pPr>
      <w:r>
        <w:t>Une migration DB accompagne toute modification de schéma.</w:t>
      </w:r>
    </w:p>
    <w:p>
      <w:pPr>
        <w:pStyle w:val="ListBullet"/>
        <w:spacing w:after="40"/>
      </w:pPr>
      <w:r>
        <w:t>Chaque endpoint protégé possède au moins un test d’autorisation positif et négatif.</w:t>
      </w:r>
    </w:p>
    <w:p>
      <w:pPr>
        <w:pStyle w:val="ListBullet"/>
        <w:spacing w:after="40"/>
      </w:pPr>
      <w:r>
        <w:t>Les jobs sont idempotents ; les webhooks sont vérifiés, journalisés et rejouables.</w:t>
      </w:r>
    </w:p>
    <w:p>
      <w:pPr>
        <w:pStyle w:val="ListBullet"/>
        <w:spacing w:after="40"/>
      </w:pPr>
      <w:r>
        <w:t>Chaque secret est lu via config validée ; aucun secret dans Git ou les logs.</w:t>
      </w:r>
    </w:p>
    <w:p>
      <w:pPr>
        <w:pStyle w:val="ListBullet"/>
        <w:spacing w:after="40"/>
      </w:pPr>
      <w:r>
        <w:t>Une fonctionnalité n’est « Done » que si lint, typecheck, tests et build passent dans Turbo.</w:t>
      </w:r>
    </w:p>
    <w:p>
      <w:pPr>
        <w:pStyle w:val="ListBullet"/>
        <w:spacing w:after="40"/>
      </w:pPr>
      <w:r>
        <w:t>Mettre à jour documentation, changelog et ADR lors des changements structurants.</w:t>
      </w:r>
    </w:p>
    <w:p>
      <w:pPr>
        <w:pStyle w:val="ListBullet"/>
        <w:spacing w:after="40"/>
      </w:pPr>
      <w:r>
        <w:t>Refuser les dépendances inutiles ; préférer les API standard et les adaptateurs.</w:t>
      </w:r>
    </w:p>
    <w:p>
      <w:pPr>
        <w:pStyle w:val="Heading2"/>
      </w:pPr>
      <w:r>
        <w:t>37.1 Definition of Done par ticket</w:t>
      </w:r>
    </w:p>
    <w:p>
      <w:pPr>
        <w:pStyle w:val="ListBullet"/>
        <w:spacing w:after="40"/>
      </w:pPr>
      <w:r>
        <w:t>Critères d’acceptation couverts.</w:t>
      </w:r>
    </w:p>
    <w:p>
      <w:pPr>
        <w:pStyle w:val="ListBullet"/>
        <w:spacing w:after="40"/>
      </w:pPr>
      <w:r>
        <w:t>UI responsive et accessible.</w:t>
      </w:r>
    </w:p>
    <w:p>
      <w:pPr>
        <w:pStyle w:val="ListBullet"/>
        <w:spacing w:after="40"/>
      </w:pPr>
      <w:r>
        <w:t>Permissions testées.</w:t>
      </w:r>
    </w:p>
    <w:p>
      <w:pPr>
        <w:pStyle w:val="ListBullet"/>
        <w:spacing w:after="40"/>
      </w:pPr>
      <w:r>
        <w:t>Cas d’erreur et états de chargement traités.</w:t>
      </w:r>
    </w:p>
    <w:p>
      <w:pPr>
        <w:pStyle w:val="ListBullet"/>
        <w:spacing w:after="40"/>
      </w:pPr>
      <w:r>
        <w:t>Logs utiles sans données sensibles.</w:t>
      </w:r>
    </w:p>
    <w:p>
      <w:pPr>
        <w:pStyle w:val="ListBullet"/>
        <w:spacing w:after="40"/>
      </w:pPr>
      <w:r>
        <w:t>Tests unitaires/intégration/E2E appropriés.</w:t>
      </w:r>
    </w:p>
    <w:p>
      <w:pPr>
        <w:pStyle w:val="ListBullet"/>
        <w:spacing w:after="40"/>
      </w:pPr>
      <w:r>
        <w:t>Migration/seed si nécessaire.</w:t>
      </w:r>
    </w:p>
    <w:p>
      <w:pPr>
        <w:pStyle w:val="ListBullet"/>
        <w:spacing w:after="40"/>
      </w:pPr>
      <w:r>
        <w:t>Documentation mise à jour.</w:t>
      </w:r>
    </w:p>
    <w:p>
      <w:pPr>
        <w:pStyle w:val="ListBullet"/>
        <w:spacing w:after="40"/>
      </w:pPr>
      <w:r>
        <w:rPr>
          <w:rFonts w:ascii="Consolas" w:hAnsi="Consolas"/>
          <w:sz w:val="17"/>
        </w:rPr>
        <w:t>pnpm lint</w:t>
      </w:r>
      <w:r>
        <w:t xml:space="preserve">, </w:t>
      </w:r>
      <w:r>
        <w:rPr>
          <w:rFonts w:ascii="Consolas" w:hAnsi="Consolas"/>
          <w:sz w:val="17"/>
        </w:rPr>
        <w:t>pnpm typecheck</w:t>
      </w:r>
      <w:r>
        <w:t xml:space="preserve">, </w:t>
      </w:r>
      <w:r>
        <w:rPr>
          <w:rFonts w:ascii="Consolas" w:hAnsi="Consolas"/>
          <w:sz w:val="17"/>
        </w:rPr>
        <w:t>pnpm test</w:t>
      </w:r>
      <w:r>
        <w:t xml:space="preserve">, </w:t>
      </w:r>
      <w:r>
        <w:rPr>
          <w:rFonts w:ascii="Consolas" w:hAnsi="Consolas"/>
          <w:sz w:val="17"/>
        </w:rPr>
        <w:t>pnpm build</w:t>
      </w:r>
      <w:r>
        <w:t xml:space="preserve"> réussissent.</w:t>
      </w:r>
    </w:p>
    <w:p>
      <w:pPr>
        <w:pStyle w:val="Heading1"/>
      </w:pPr>
      <w:r>
        <w:t>38. Routes minimales</w:t>
      </w:r>
    </w:p>
    <w:p>
      <w:pPr>
        <w:pStyle w:val="Heading2"/>
      </w:pPr>
      <w:r>
        <w:t>38.1 fetrag.ga</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0B66B2"/>
            <w:vAlign w:val="center"/>
            <w:tcMar>
              <w:top w:w="70" w:type="dxa"/>
              <w:start w:w="70" w:type="dxa"/>
              <w:bottom w:w="70" w:type="dxa"/>
              <w:end w:w="70" w:type="dxa"/>
            </w:tcMar>
          </w:tcPr>
          <w:p>
            <w:pPr>
              <w:pStyle w:val="TableSmall"/>
            </w:pPr>
            <w:r>
              <w:rPr>
                <w:b/>
                <w:color w:val="FFFFFF"/>
                <w:sz w:val="15"/>
              </w:rPr>
              <w:t>Route</w:t>
            </w:r>
          </w:p>
        </w:tc>
        <w:tc>
          <w:tcPr>
            <w:tcW w:type="dxa" w:w="5213"/>
            <w:shd w:fill="0B66B2"/>
            <w:vAlign w:val="center"/>
            <w:tcMar>
              <w:top w:w="70" w:type="dxa"/>
              <w:start w:w="70" w:type="dxa"/>
              <w:bottom w:w="70" w:type="dxa"/>
              <w:end w:w="70" w:type="dxa"/>
            </w:tcMar>
          </w:tcPr>
          <w:p>
            <w:pPr>
              <w:pStyle w:val="TableSmall"/>
            </w:pPr>
            <w:r>
              <w:rPr>
                <w:b/>
                <w:color w:val="FFFFFF"/>
                <w:sz w:val="15"/>
              </w:rPr>
              <w:t>Objet</w:t>
            </w:r>
          </w:p>
        </w:tc>
      </w:tr>
      <w:tr>
        <w:tc>
          <w:tcPr>
            <w:tcW w:type="dxa" w:w="5213"/>
            <w:vAlign w:val="top"/>
            <w:tcMar>
              <w:top w:w="65" w:type="dxa"/>
              <w:start w:w="65" w:type="dxa"/>
              <w:bottom w:w="65" w:type="dxa"/>
              <w:end w:w="65" w:type="dxa"/>
            </w:tcMar>
          </w:tcPr>
          <w:p>
            <w:pPr>
              <w:pStyle w:val="TableSmall"/>
            </w:pPr>
            <w:r>
              <w:rPr>
                <w:sz w:val="15"/>
              </w:rPr>
              <w:t>/</w:t>
            </w:r>
          </w:p>
        </w:tc>
        <w:tc>
          <w:tcPr>
            <w:tcW w:type="dxa" w:w="5213"/>
            <w:vAlign w:val="top"/>
            <w:tcMar>
              <w:top w:w="65" w:type="dxa"/>
              <w:start w:w="65" w:type="dxa"/>
              <w:bottom w:w="65" w:type="dxa"/>
              <w:end w:w="65" w:type="dxa"/>
            </w:tcMar>
          </w:tcPr>
          <w:p>
            <w:pPr>
              <w:pStyle w:val="TableSmall"/>
            </w:pPr>
            <w:r>
              <w:rPr>
                <w:sz w:val="15"/>
              </w:rPr>
              <w:t>Accueil institutionnel</w:t>
            </w:r>
          </w:p>
        </w:tc>
      </w:tr>
      <w:tr>
        <w:tc>
          <w:tcPr>
            <w:tcW w:type="dxa" w:w="5213"/>
            <w:vAlign w:val="top"/>
            <w:shd w:fill="F7F9FB"/>
            <w:tcMar>
              <w:top w:w="65" w:type="dxa"/>
              <w:start w:w="65" w:type="dxa"/>
              <w:bottom w:w="65" w:type="dxa"/>
              <w:end w:w="65" w:type="dxa"/>
            </w:tcMar>
          </w:tcPr>
          <w:p>
            <w:pPr>
              <w:pStyle w:val="TableSmall"/>
            </w:pPr>
            <w:r>
              <w:rPr>
                <w:sz w:val="15"/>
              </w:rPr>
              <w:t>/la-fetrag</w:t>
            </w:r>
          </w:p>
        </w:tc>
        <w:tc>
          <w:tcPr>
            <w:tcW w:type="dxa" w:w="5213"/>
            <w:vAlign w:val="top"/>
            <w:shd w:fill="F7F9FB"/>
            <w:tcMar>
              <w:top w:w="65" w:type="dxa"/>
              <w:start w:w="65" w:type="dxa"/>
              <w:bottom w:w="65" w:type="dxa"/>
              <w:end w:w="65" w:type="dxa"/>
            </w:tcMar>
          </w:tcPr>
          <w:p>
            <w:pPr>
              <w:pStyle w:val="TableSmall"/>
            </w:pPr>
            <w:r>
              <w:rPr>
                <w:sz w:val="15"/>
              </w:rPr>
              <w:t>Historique, missions, valeurs, gouvernance, triptyque</w:t>
            </w:r>
          </w:p>
        </w:tc>
      </w:tr>
      <w:tr>
        <w:tc>
          <w:tcPr>
            <w:tcW w:type="dxa" w:w="5213"/>
            <w:vAlign w:val="top"/>
            <w:tcMar>
              <w:top w:w="65" w:type="dxa"/>
              <w:start w:w="65" w:type="dxa"/>
              <w:bottom w:w="65" w:type="dxa"/>
              <w:end w:w="65" w:type="dxa"/>
            </w:tcMar>
          </w:tcPr>
          <w:p>
            <w:pPr>
              <w:pStyle w:val="TableSmall"/>
            </w:pPr>
            <w:r>
              <w:rPr>
                <w:sz w:val="15"/>
              </w:rPr>
              <w:t>/organisations</w:t>
            </w:r>
          </w:p>
        </w:tc>
        <w:tc>
          <w:tcPr>
            <w:tcW w:type="dxa" w:w="5213"/>
            <w:vAlign w:val="top"/>
            <w:tcMar>
              <w:top w:w="65" w:type="dxa"/>
              <w:start w:w="65" w:type="dxa"/>
              <w:bottom w:w="65" w:type="dxa"/>
              <w:end w:w="65" w:type="dxa"/>
            </w:tcMar>
          </w:tcPr>
          <w:p>
            <w:pPr>
              <w:pStyle w:val="TableSmall"/>
            </w:pPr>
            <w:r>
              <w:rPr>
                <w:sz w:val="15"/>
              </w:rPr>
              <w:t>Affiliés et partenaires</w:t>
            </w:r>
          </w:p>
        </w:tc>
      </w:tr>
      <w:tr>
        <w:tc>
          <w:tcPr>
            <w:tcW w:type="dxa" w:w="5213"/>
            <w:vAlign w:val="top"/>
            <w:shd w:fill="F7F9FB"/>
            <w:tcMar>
              <w:top w:w="65" w:type="dxa"/>
              <w:start w:w="65" w:type="dxa"/>
              <w:bottom w:w="65" w:type="dxa"/>
              <w:end w:w="65" w:type="dxa"/>
            </w:tcMar>
          </w:tcPr>
          <w:p>
            <w:pPr>
              <w:pStyle w:val="TableSmall"/>
            </w:pPr>
            <w:r>
              <w:rPr>
                <w:sz w:val="15"/>
              </w:rPr>
              <w:t>/actualites</w:t>
            </w:r>
          </w:p>
        </w:tc>
        <w:tc>
          <w:tcPr>
            <w:tcW w:type="dxa" w:w="5213"/>
            <w:vAlign w:val="top"/>
            <w:shd w:fill="F7F9FB"/>
            <w:tcMar>
              <w:top w:w="65" w:type="dxa"/>
              <w:start w:w="65" w:type="dxa"/>
              <w:bottom w:w="65" w:type="dxa"/>
              <w:end w:w="65" w:type="dxa"/>
            </w:tcMar>
          </w:tcPr>
          <w:p>
            <w:pPr>
              <w:pStyle w:val="TableSmall"/>
            </w:pPr>
            <w:r>
              <w:rPr>
                <w:sz w:val="15"/>
              </w:rPr>
              <w:t>Actualités et communiqués</w:t>
            </w:r>
          </w:p>
        </w:tc>
      </w:tr>
      <w:tr>
        <w:tc>
          <w:tcPr>
            <w:tcW w:type="dxa" w:w="5213"/>
            <w:vAlign w:val="top"/>
            <w:tcMar>
              <w:top w:w="65" w:type="dxa"/>
              <w:start w:w="65" w:type="dxa"/>
              <w:bottom w:w="65" w:type="dxa"/>
              <w:end w:w="65" w:type="dxa"/>
            </w:tcMar>
          </w:tcPr>
          <w:p>
            <w:pPr>
              <w:pStyle w:val="TableSmall"/>
            </w:pPr>
            <w:r>
              <w:rPr>
                <w:sz w:val="15"/>
              </w:rPr>
              <w:t>/actualites/[slug]</w:t>
            </w:r>
          </w:p>
        </w:tc>
        <w:tc>
          <w:tcPr>
            <w:tcW w:type="dxa" w:w="5213"/>
            <w:vAlign w:val="top"/>
            <w:tcMar>
              <w:top w:w="65" w:type="dxa"/>
              <w:start w:w="65" w:type="dxa"/>
              <w:bottom w:w="65" w:type="dxa"/>
              <w:end w:w="65" w:type="dxa"/>
            </w:tcMar>
          </w:tcPr>
          <w:p>
            <w:pPr>
              <w:pStyle w:val="TableSmall"/>
            </w:pPr>
            <w:r>
              <w:rPr>
                <w:sz w:val="15"/>
              </w:rPr>
              <w:t>Détail d’actualité</w:t>
            </w:r>
          </w:p>
        </w:tc>
      </w:tr>
      <w:tr>
        <w:tc>
          <w:tcPr>
            <w:tcW w:type="dxa" w:w="5213"/>
            <w:vAlign w:val="top"/>
            <w:shd w:fill="F7F9FB"/>
            <w:tcMar>
              <w:top w:w="65" w:type="dxa"/>
              <w:start w:w="65" w:type="dxa"/>
              <w:bottom w:w="65" w:type="dxa"/>
              <w:end w:w="65" w:type="dxa"/>
            </w:tcMar>
          </w:tcPr>
          <w:p>
            <w:pPr>
              <w:pStyle w:val="TableSmall"/>
            </w:pPr>
            <w:r>
              <w:rPr>
                <w:sz w:val="15"/>
              </w:rPr>
              <w:t>/ressources</w:t>
            </w:r>
          </w:p>
        </w:tc>
        <w:tc>
          <w:tcPr>
            <w:tcW w:type="dxa" w:w="5213"/>
            <w:vAlign w:val="top"/>
            <w:shd w:fill="F7F9FB"/>
            <w:tcMar>
              <w:top w:w="65" w:type="dxa"/>
              <w:start w:w="65" w:type="dxa"/>
              <w:bottom w:w="65" w:type="dxa"/>
              <w:end w:w="65" w:type="dxa"/>
            </w:tcMar>
          </w:tcPr>
          <w:p>
            <w:pPr>
              <w:pStyle w:val="TableSmall"/>
            </w:pPr>
            <w:r>
              <w:rPr>
                <w:sz w:val="15"/>
              </w:rPr>
              <w:t>Bibliothèque documentaire</w:t>
            </w:r>
          </w:p>
        </w:tc>
      </w:tr>
      <w:tr>
        <w:tc>
          <w:tcPr>
            <w:tcW w:type="dxa" w:w="5213"/>
            <w:vAlign w:val="top"/>
            <w:tcMar>
              <w:top w:w="65" w:type="dxa"/>
              <w:start w:w="65" w:type="dxa"/>
              <w:bottom w:w="65" w:type="dxa"/>
              <w:end w:w="65" w:type="dxa"/>
            </w:tcMar>
          </w:tcPr>
          <w:p>
            <w:pPr>
              <w:pStyle w:val="TableSmall"/>
            </w:pPr>
            <w:r>
              <w:rPr>
                <w:sz w:val="15"/>
              </w:rPr>
              <w:t>/formations</w:t>
            </w:r>
          </w:p>
        </w:tc>
        <w:tc>
          <w:tcPr>
            <w:tcW w:type="dxa" w:w="5213"/>
            <w:vAlign w:val="top"/>
            <w:tcMar>
              <w:top w:w="65" w:type="dxa"/>
              <w:start w:w="65" w:type="dxa"/>
              <w:bottom w:w="65" w:type="dxa"/>
              <w:end w:w="65" w:type="dxa"/>
            </w:tcMar>
          </w:tcPr>
          <w:p>
            <w:pPr>
              <w:pStyle w:val="TableSmall"/>
            </w:pPr>
            <w:r>
              <w:rPr>
                <w:sz w:val="15"/>
              </w:rPr>
              <w:t>Catalogue public synchronisé</w:t>
            </w:r>
          </w:p>
        </w:tc>
      </w:tr>
      <w:tr>
        <w:tc>
          <w:tcPr>
            <w:tcW w:type="dxa" w:w="5213"/>
            <w:vAlign w:val="top"/>
            <w:shd w:fill="F7F9FB"/>
            <w:tcMar>
              <w:top w:w="65" w:type="dxa"/>
              <w:start w:w="65" w:type="dxa"/>
              <w:bottom w:w="65" w:type="dxa"/>
              <w:end w:w="65" w:type="dxa"/>
            </w:tcMar>
          </w:tcPr>
          <w:p>
            <w:pPr>
              <w:pStyle w:val="TableSmall"/>
            </w:pPr>
            <w:r>
              <w:rPr>
                <w:sz w:val="15"/>
              </w:rPr>
              <w:t>/services</w:t>
            </w:r>
          </w:p>
        </w:tc>
        <w:tc>
          <w:tcPr>
            <w:tcW w:type="dxa" w:w="5213"/>
            <w:vAlign w:val="top"/>
            <w:shd w:fill="F7F9FB"/>
            <w:tcMar>
              <w:top w:w="65" w:type="dxa"/>
              <w:start w:w="65" w:type="dxa"/>
              <w:bottom w:w="65" w:type="dxa"/>
              <w:end w:w="65" w:type="dxa"/>
            </w:tcMar>
          </w:tcPr>
          <w:p>
            <w:pPr>
              <w:pStyle w:val="TableSmall"/>
            </w:pPr>
            <w:r>
              <w:rPr>
                <w:sz w:val="15"/>
              </w:rPr>
              <w:t>Catalogue des services</w:t>
            </w:r>
          </w:p>
        </w:tc>
      </w:tr>
      <w:tr>
        <w:tc>
          <w:tcPr>
            <w:tcW w:type="dxa" w:w="5213"/>
            <w:vAlign w:val="top"/>
            <w:tcMar>
              <w:top w:w="65" w:type="dxa"/>
              <w:start w:w="65" w:type="dxa"/>
              <w:bottom w:w="65" w:type="dxa"/>
              <w:end w:w="65" w:type="dxa"/>
            </w:tcMar>
          </w:tcPr>
          <w:p>
            <w:pPr>
              <w:pStyle w:val="TableSmall"/>
            </w:pPr>
            <w:r>
              <w:rPr>
                <w:sz w:val="15"/>
              </w:rPr>
              <w:t>/evenements</w:t>
            </w:r>
          </w:p>
        </w:tc>
        <w:tc>
          <w:tcPr>
            <w:tcW w:type="dxa" w:w="5213"/>
            <w:vAlign w:val="top"/>
            <w:tcMar>
              <w:top w:w="65" w:type="dxa"/>
              <w:start w:w="65" w:type="dxa"/>
              <w:bottom w:w="65" w:type="dxa"/>
              <w:end w:w="65" w:type="dxa"/>
            </w:tcMar>
          </w:tcPr>
          <w:p>
            <w:pPr>
              <w:pStyle w:val="TableSmall"/>
            </w:pPr>
            <w:r>
              <w:rPr>
                <w:sz w:val="15"/>
              </w:rPr>
              <w:t>Agenda et inscriptions</w:t>
            </w:r>
          </w:p>
        </w:tc>
      </w:tr>
      <w:tr>
        <w:tc>
          <w:tcPr>
            <w:tcW w:type="dxa" w:w="5213"/>
            <w:vAlign w:val="top"/>
            <w:shd w:fill="F7F9FB"/>
            <w:tcMar>
              <w:top w:w="65" w:type="dxa"/>
              <w:start w:w="65" w:type="dxa"/>
              <w:bottom w:w="65" w:type="dxa"/>
              <w:end w:w="65" w:type="dxa"/>
            </w:tcMar>
          </w:tcPr>
          <w:p>
            <w:pPr>
              <w:pStyle w:val="TableSmall"/>
            </w:pPr>
            <w:r>
              <w:rPr>
                <w:sz w:val="15"/>
              </w:rPr>
              <w:t>/adhesion</w:t>
            </w:r>
          </w:p>
        </w:tc>
        <w:tc>
          <w:tcPr>
            <w:tcW w:type="dxa" w:w="5213"/>
            <w:vAlign w:val="top"/>
            <w:shd w:fill="F7F9FB"/>
            <w:tcMar>
              <w:top w:w="65" w:type="dxa"/>
              <w:start w:w="65" w:type="dxa"/>
              <w:bottom w:w="65" w:type="dxa"/>
              <w:end w:w="65" w:type="dxa"/>
            </w:tcMar>
          </w:tcPr>
          <w:p>
            <w:pPr>
              <w:pStyle w:val="TableSmall"/>
            </w:pPr>
            <w:r>
              <w:rPr>
                <w:sz w:val="15"/>
              </w:rPr>
              <w:t>Intérêt/adhésion/orientation</w:t>
            </w:r>
          </w:p>
        </w:tc>
      </w:tr>
      <w:tr>
        <w:tc>
          <w:tcPr>
            <w:tcW w:type="dxa" w:w="5213"/>
            <w:vAlign w:val="top"/>
            <w:tcMar>
              <w:top w:w="65" w:type="dxa"/>
              <w:start w:w="65" w:type="dxa"/>
              <w:bottom w:w="65" w:type="dxa"/>
              <w:end w:w="65" w:type="dxa"/>
            </w:tcMar>
          </w:tcPr>
          <w:p>
            <w:pPr>
              <w:pStyle w:val="TableSmall"/>
            </w:pPr>
            <w:r>
              <w:rPr>
                <w:sz w:val="15"/>
              </w:rPr>
              <w:t>/contact</w:t>
            </w:r>
          </w:p>
        </w:tc>
        <w:tc>
          <w:tcPr>
            <w:tcW w:type="dxa" w:w="5213"/>
            <w:vAlign w:val="top"/>
            <w:tcMar>
              <w:top w:w="65" w:type="dxa"/>
              <w:start w:w="65" w:type="dxa"/>
              <w:bottom w:w="65" w:type="dxa"/>
              <w:end w:w="65" w:type="dxa"/>
            </w:tcMar>
          </w:tcPr>
          <w:p>
            <w:pPr>
              <w:pStyle w:val="TableSmall"/>
            </w:pPr>
            <w:r>
              <w:rPr>
                <w:sz w:val="15"/>
              </w:rPr>
              <w:t>Contact</w:t>
            </w:r>
          </w:p>
        </w:tc>
      </w:tr>
      <w:tr>
        <w:tc>
          <w:tcPr>
            <w:tcW w:type="dxa" w:w="5213"/>
            <w:vAlign w:val="top"/>
            <w:shd w:fill="F7F9FB"/>
            <w:tcMar>
              <w:top w:w="65" w:type="dxa"/>
              <w:start w:w="65" w:type="dxa"/>
              <w:bottom w:w="65" w:type="dxa"/>
              <w:end w:w="65" w:type="dxa"/>
            </w:tcMar>
          </w:tcPr>
          <w:p>
            <w:pPr>
              <w:pStyle w:val="TableSmall"/>
            </w:pPr>
            <w:r>
              <w:rPr>
                <w:sz w:val="15"/>
              </w:rPr>
              <w:t>/recherche</w:t>
            </w:r>
          </w:p>
        </w:tc>
        <w:tc>
          <w:tcPr>
            <w:tcW w:type="dxa" w:w="5213"/>
            <w:vAlign w:val="top"/>
            <w:shd w:fill="F7F9FB"/>
            <w:tcMar>
              <w:top w:w="65" w:type="dxa"/>
              <w:start w:w="65" w:type="dxa"/>
              <w:bottom w:w="65" w:type="dxa"/>
              <w:end w:w="65" w:type="dxa"/>
            </w:tcMar>
          </w:tcPr>
          <w:p>
            <w:pPr>
              <w:pStyle w:val="TableSmall"/>
            </w:pPr>
            <w:r>
              <w:rPr>
                <w:sz w:val="15"/>
              </w:rPr>
              <w:t>Recherche transverse</w:t>
            </w:r>
          </w:p>
        </w:tc>
      </w:tr>
      <w:tr>
        <w:tc>
          <w:tcPr>
            <w:tcW w:type="dxa" w:w="5213"/>
            <w:vAlign w:val="top"/>
            <w:tcMar>
              <w:top w:w="65" w:type="dxa"/>
              <w:start w:w="65" w:type="dxa"/>
              <w:bottom w:w="65" w:type="dxa"/>
              <w:end w:w="65" w:type="dxa"/>
            </w:tcMar>
          </w:tcPr>
          <w:p>
            <w:pPr>
              <w:pStyle w:val="TableSmall"/>
            </w:pPr>
            <w:r>
              <w:rPr>
                <w:sz w:val="15"/>
              </w:rPr>
              <w:t>/connexion</w:t>
            </w:r>
          </w:p>
        </w:tc>
        <w:tc>
          <w:tcPr>
            <w:tcW w:type="dxa" w:w="5213"/>
            <w:vAlign w:val="top"/>
            <w:tcMar>
              <w:top w:w="65" w:type="dxa"/>
              <w:start w:w="65" w:type="dxa"/>
              <w:bottom w:w="65" w:type="dxa"/>
              <w:end w:w="65" w:type="dxa"/>
            </w:tcMar>
          </w:tcPr>
          <w:p>
            <w:pPr>
              <w:pStyle w:val="TableSmall"/>
            </w:pPr>
            <w:r>
              <w:rPr>
                <w:sz w:val="15"/>
              </w:rPr>
              <w:t>Entrée SSO</w:t>
            </w:r>
          </w:p>
        </w:tc>
      </w:tr>
      <w:tr>
        <w:tc>
          <w:tcPr>
            <w:tcW w:type="dxa" w:w="5213"/>
            <w:vAlign w:val="top"/>
            <w:shd w:fill="F7F9FB"/>
            <w:tcMar>
              <w:top w:w="65" w:type="dxa"/>
              <w:start w:w="65" w:type="dxa"/>
              <w:bottom w:w="65" w:type="dxa"/>
              <w:end w:w="65" w:type="dxa"/>
            </w:tcMar>
          </w:tcPr>
          <w:p>
            <w:pPr>
              <w:pStyle w:val="TableSmall"/>
            </w:pPr>
            <w:r>
              <w:rPr>
                <w:sz w:val="15"/>
              </w:rPr>
              <w:t>/espace</w:t>
            </w:r>
          </w:p>
        </w:tc>
        <w:tc>
          <w:tcPr>
            <w:tcW w:type="dxa" w:w="5213"/>
            <w:vAlign w:val="top"/>
            <w:shd w:fill="F7F9FB"/>
            <w:tcMar>
              <w:top w:w="65" w:type="dxa"/>
              <w:start w:w="65" w:type="dxa"/>
              <w:bottom w:w="65" w:type="dxa"/>
              <w:end w:w="65" w:type="dxa"/>
            </w:tcMar>
          </w:tcPr>
          <w:p>
            <w:pPr>
              <w:pStyle w:val="TableSmall"/>
            </w:pPr>
            <w:r>
              <w:rPr>
                <w:sz w:val="15"/>
              </w:rPr>
              <w:t>Espace personnel</w:t>
            </w:r>
          </w:p>
        </w:tc>
      </w:tr>
      <w:tr>
        <w:tc>
          <w:tcPr>
            <w:tcW w:type="dxa" w:w="5213"/>
            <w:vAlign w:val="top"/>
            <w:tcMar>
              <w:top w:w="65" w:type="dxa"/>
              <w:start w:w="65" w:type="dxa"/>
              <w:bottom w:w="65" w:type="dxa"/>
              <w:end w:w="65" w:type="dxa"/>
            </w:tcMar>
          </w:tcPr>
          <w:p>
            <w:pPr>
              <w:pStyle w:val="TableSmall"/>
            </w:pPr>
            <w:r>
              <w:rPr>
                <w:sz w:val="15"/>
              </w:rPr>
              <w:t>/certificats/verifier/[code]</w:t>
            </w:r>
          </w:p>
        </w:tc>
        <w:tc>
          <w:tcPr>
            <w:tcW w:type="dxa" w:w="5213"/>
            <w:vAlign w:val="top"/>
            <w:tcMar>
              <w:top w:w="65" w:type="dxa"/>
              <w:start w:w="65" w:type="dxa"/>
              <w:bottom w:w="65" w:type="dxa"/>
              <w:end w:w="65" w:type="dxa"/>
            </w:tcMar>
          </w:tcPr>
          <w:p>
            <w:pPr>
              <w:pStyle w:val="TableSmall"/>
            </w:pPr>
            <w:r>
              <w:rPr>
                <w:sz w:val="15"/>
              </w:rPr>
              <w:t>Vérification publique</w:t>
            </w:r>
          </w:p>
        </w:tc>
      </w:tr>
      <w:tr>
        <w:tc>
          <w:tcPr>
            <w:tcW w:type="dxa" w:w="5213"/>
            <w:vAlign w:val="top"/>
            <w:shd w:fill="F7F9FB"/>
            <w:tcMar>
              <w:top w:w="65" w:type="dxa"/>
              <w:start w:w="65" w:type="dxa"/>
              <w:bottom w:w="65" w:type="dxa"/>
              <w:end w:w="65" w:type="dxa"/>
            </w:tcMar>
          </w:tcPr>
          <w:p>
            <w:pPr>
              <w:pStyle w:val="TableSmall"/>
            </w:pPr>
            <w:r>
              <w:rPr>
                <w:sz w:val="15"/>
              </w:rPr>
              <w:t>/admin</w:t>
            </w:r>
          </w:p>
        </w:tc>
        <w:tc>
          <w:tcPr>
            <w:tcW w:type="dxa" w:w="5213"/>
            <w:vAlign w:val="top"/>
            <w:shd w:fill="F7F9FB"/>
            <w:tcMar>
              <w:top w:w="65" w:type="dxa"/>
              <w:start w:w="65" w:type="dxa"/>
              <w:bottom w:w="65" w:type="dxa"/>
              <w:end w:w="65" w:type="dxa"/>
            </w:tcMar>
          </w:tcPr>
          <w:p>
            <w:pPr>
              <w:pStyle w:val="TableSmall"/>
            </w:pPr>
            <w:r>
              <w:rPr>
                <w:sz w:val="15"/>
              </w:rPr>
              <w:t>Back-office vitrine</w:t>
            </w:r>
          </w:p>
        </w:tc>
      </w:tr>
    </w:tbl>
    <w:p>
      <w:pPr>
        <w:spacing w:after="20"/>
      </w:pPr>
    </w:p>
    <w:p>
      <w:pPr>
        <w:pStyle w:val="Heading2"/>
      </w:pPr>
      <w:r>
        <w:t>38.2 formation.fetrag.ga</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0B66B2"/>
            <w:vAlign w:val="center"/>
            <w:tcMar>
              <w:top w:w="70" w:type="dxa"/>
              <w:start w:w="70" w:type="dxa"/>
              <w:bottom w:w="70" w:type="dxa"/>
              <w:end w:w="70" w:type="dxa"/>
            </w:tcMar>
          </w:tcPr>
          <w:p>
            <w:pPr>
              <w:pStyle w:val="TableSmall"/>
            </w:pPr>
            <w:r>
              <w:rPr>
                <w:b/>
                <w:color w:val="FFFFFF"/>
                <w:sz w:val="15"/>
              </w:rPr>
              <w:t>Route</w:t>
            </w:r>
          </w:p>
        </w:tc>
        <w:tc>
          <w:tcPr>
            <w:tcW w:type="dxa" w:w="5213"/>
            <w:shd w:fill="0B66B2"/>
            <w:vAlign w:val="center"/>
            <w:tcMar>
              <w:top w:w="70" w:type="dxa"/>
              <w:start w:w="70" w:type="dxa"/>
              <w:bottom w:w="70" w:type="dxa"/>
              <w:end w:w="70" w:type="dxa"/>
            </w:tcMar>
          </w:tcPr>
          <w:p>
            <w:pPr>
              <w:pStyle w:val="TableSmall"/>
            </w:pPr>
            <w:r>
              <w:rPr>
                <w:b/>
                <w:color w:val="FFFFFF"/>
                <w:sz w:val="15"/>
              </w:rPr>
              <w:t>Objet</w:t>
            </w:r>
          </w:p>
        </w:tc>
      </w:tr>
      <w:tr>
        <w:tc>
          <w:tcPr>
            <w:tcW w:type="dxa" w:w="5213"/>
            <w:vAlign w:val="top"/>
            <w:tcMar>
              <w:top w:w="65" w:type="dxa"/>
              <w:start w:w="65" w:type="dxa"/>
              <w:bottom w:w="65" w:type="dxa"/>
              <w:end w:w="65" w:type="dxa"/>
            </w:tcMar>
          </w:tcPr>
          <w:p>
            <w:pPr>
              <w:pStyle w:val="TableSmall"/>
            </w:pPr>
            <w:r>
              <w:rPr>
                <w:sz w:val="15"/>
              </w:rPr>
              <w:t>/</w:t>
            </w:r>
          </w:p>
        </w:tc>
        <w:tc>
          <w:tcPr>
            <w:tcW w:type="dxa" w:w="5213"/>
            <w:vAlign w:val="top"/>
            <w:tcMar>
              <w:top w:w="65" w:type="dxa"/>
              <w:start w:w="65" w:type="dxa"/>
              <w:bottom w:w="65" w:type="dxa"/>
              <w:end w:w="65" w:type="dxa"/>
            </w:tcMar>
          </w:tcPr>
          <w:p>
            <w:pPr>
              <w:pStyle w:val="TableSmall"/>
            </w:pPr>
            <w:r>
              <w:rPr>
                <w:sz w:val="15"/>
              </w:rPr>
              <w:t>Accueil formation</w:t>
            </w:r>
          </w:p>
        </w:tc>
      </w:tr>
      <w:tr>
        <w:tc>
          <w:tcPr>
            <w:tcW w:type="dxa" w:w="5213"/>
            <w:vAlign w:val="top"/>
            <w:shd w:fill="F7F9FB"/>
            <w:tcMar>
              <w:top w:w="65" w:type="dxa"/>
              <w:start w:w="65" w:type="dxa"/>
              <w:bottom w:w="65" w:type="dxa"/>
              <w:end w:w="65" w:type="dxa"/>
            </w:tcMar>
          </w:tcPr>
          <w:p>
            <w:pPr>
              <w:pStyle w:val="TableSmall"/>
            </w:pPr>
            <w:r>
              <w:rPr>
                <w:sz w:val="15"/>
              </w:rPr>
              <w:t>/catalogue</w:t>
            </w:r>
          </w:p>
        </w:tc>
        <w:tc>
          <w:tcPr>
            <w:tcW w:type="dxa" w:w="5213"/>
            <w:vAlign w:val="top"/>
            <w:shd w:fill="F7F9FB"/>
            <w:tcMar>
              <w:top w:w="65" w:type="dxa"/>
              <w:start w:w="65" w:type="dxa"/>
              <w:bottom w:w="65" w:type="dxa"/>
              <w:end w:w="65" w:type="dxa"/>
            </w:tcMar>
          </w:tcPr>
          <w:p>
            <w:pPr>
              <w:pStyle w:val="TableSmall"/>
            </w:pPr>
            <w:r>
              <w:rPr>
                <w:sz w:val="15"/>
              </w:rPr>
              <w:t>Catalogue LMS</w:t>
            </w:r>
          </w:p>
        </w:tc>
      </w:tr>
      <w:tr>
        <w:tc>
          <w:tcPr>
            <w:tcW w:type="dxa" w:w="5213"/>
            <w:vAlign w:val="top"/>
            <w:tcMar>
              <w:top w:w="65" w:type="dxa"/>
              <w:start w:w="65" w:type="dxa"/>
              <w:bottom w:w="65" w:type="dxa"/>
              <w:end w:w="65" w:type="dxa"/>
            </w:tcMar>
          </w:tcPr>
          <w:p>
            <w:pPr>
              <w:pStyle w:val="TableSmall"/>
            </w:pPr>
            <w:r>
              <w:rPr>
                <w:sz w:val="15"/>
              </w:rPr>
              <w:t>/cours/[slug]</w:t>
            </w:r>
          </w:p>
        </w:tc>
        <w:tc>
          <w:tcPr>
            <w:tcW w:type="dxa" w:w="5213"/>
            <w:vAlign w:val="top"/>
            <w:tcMar>
              <w:top w:w="65" w:type="dxa"/>
              <w:start w:w="65" w:type="dxa"/>
              <w:bottom w:w="65" w:type="dxa"/>
              <w:end w:w="65" w:type="dxa"/>
            </w:tcMar>
          </w:tcPr>
          <w:p>
            <w:pPr>
              <w:pStyle w:val="TableSmall"/>
            </w:pPr>
            <w:r>
              <w:rPr>
                <w:sz w:val="15"/>
              </w:rPr>
              <w:t>Fiche de cours</w:t>
            </w:r>
          </w:p>
        </w:tc>
      </w:tr>
      <w:tr>
        <w:tc>
          <w:tcPr>
            <w:tcW w:type="dxa" w:w="5213"/>
            <w:vAlign w:val="top"/>
            <w:shd w:fill="F7F9FB"/>
            <w:tcMar>
              <w:top w:w="65" w:type="dxa"/>
              <w:start w:w="65" w:type="dxa"/>
              <w:bottom w:w="65" w:type="dxa"/>
              <w:end w:w="65" w:type="dxa"/>
            </w:tcMar>
          </w:tcPr>
          <w:p>
            <w:pPr>
              <w:pStyle w:val="TableSmall"/>
            </w:pPr>
            <w:r>
              <w:rPr>
                <w:sz w:val="15"/>
              </w:rPr>
              <w:t>/dashboard</w:t>
            </w:r>
          </w:p>
        </w:tc>
        <w:tc>
          <w:tcPr>
            <w:tcW w:type="dxa" w:w="5213"/>
            <w:vAlign w:val="top"/>
            <w:shd w:fill="F7F9FB"/>
            <w:tcMar>
              <w:top w:w="65" w:type="dxa"/>
              <w:start w:w="65" w:type="dxa"/>
              <w:bottom w:w="65" w:type="dxa"/>
              <w:end w:w="65" w:type="dxa"/>
            </w:tcMar>
          </w:tcPr>
          <w:p>
            <w:pPr>
              <w:pStyle w:val="TableSmall"/>
            </w:pPr>
            <w:r>
              <w:rPr>
                <w:sz w:val="15"/>
              </w:rPr>
              <w:t>Tableau de bord contextualisé</w:t>
            </w:r>
          </w:p>
        </w:tc>
      </w:tr>
      <w:tr>
        <w:tc>
          <w:tcPr>
            <w:tcW w:type="dxa" w:w="5213"/>
            <w:vAlign w:val="top"/>
            <w:tcMar>
              <w:top w:w="65" w:type="dxa"/>
              <w:start w:w="65" w:type="dxa"/>
              <w:bottom w:w="65" w:type="dxa"/>
              <w:end w:w="65" w:type="dxa"/>
            </w:tcMar>
          </w:tcPr>
          <w:p>
            <w:pPr>
              <w:pStyle w:val="TableSmall"/>
            </w:pPr>
            <w:r>
              <w:rPr>
                <w:sz w:val="15"/>
              </w:rPr>
              <w:t>/mes-formations</w:t>
            </w:r>
          </w:p>
        </w:tc>
        <w:tc>
          <w:tcPr>
            <w:tcW w:type="dxa" w:w="5213"/>
            <w:vAlign w:val="top"/>
            <w:tcMar>
              <w:top w:w="65" w:type="dxa"/>
              <w:start w:w="65" w:type="dxa"/>
              <w:bottom w:w="65" w:type="dxa"/>
              <w:end w:w="65" w:type="dxa"/>
            </w:tcMar>
          </w:tcPr>
          <w:p>
            <w:pPr>
              <w:pStyle w:val="TableSmall"/>
            </w:pPr>
            <w:r>
              <w:rPr>
                <w:sz w:val="15"/>
              </w:rPr>
              <w:t>Inscriptions et progression</w:t>
            </w:r>
          </w:p>
        </w:tc>
      </w:tr>
      <w:tr>
        <w:tc>
          <w:tcPr>
            <w:tcW w:type="dxa" w:w="5213"/>
            <w:vAlign w:val="top"/>
            <w:shd w:fill="F7F9FB"/>
            <w:tcMar>
              <w:top w:w="65" w:type="dxa"/>
              <w:start w:w="65" w:type="dxa"/>
              <w:bottom w:w="65" w:type="dxa"/>
              <w:end w:w="65" w:type="dxa"/>
            </w:tcMar>
          </w:tcPr>
          <w:p>
            <w:pPr>
              <w:pStyle w:val="TableSmall"/>
            </w:pPr>
            <w:r>
              <w:rPr>
                <w:sz w:val="15"/>
              </w:rPr>
              <w:t>/apprendre/[courseId]/[lessonId]</w:t>
            </w:r>
          </w:p>
        </w:tc>
        <w:tc>
          <w:tcPr>
            <w:tcW w:type="dxa" w:w="5213"/>
            <w:vAlign w:val="top"/>
            <w:shd w:fill="F7F9FB"/>
            <w:tcMar>
              <w:top w:w="65" w:type="dxa"/>
              <w:start w:w="65" w:type="dxa"/>
              <w:bottom w:w="65" w:type="dxa"/>
              <w:end w:w="65" w:type="dxa"/>
            </w:tcMar>
          </w:tcPr>
          <w:p>
            <w:pPr>
              <w:pStyle w:val="TableSmall"/>
            </w:pPr>
            <w:r>
              <w:rPr>
                <w:sz w:val="15"/>
              </w:rPr>
              <w:t>Lecteur pédagogique</w:t>
            </w:r>
          </w:p>
        </w:tc>
      </w:tr>
      <w:tr>
        <w:tc>
          <w:tcPr>
            <w:tcW w:type="dxa" w:w="5213"/>
            <w:vAlign w:val="top"/>
            <w:tcMar>
              <w:top w:w="65" w:type="dxa"/>
              <w:start w:w="65" w:type="dxa"/>
              <w:bottom w:w="65" w:type="dxa"/>
              <w:end w:w="65" w:type="dxa"/>
            </w:tcMar>
          </w:tcPr>
          <w:p>
            <w:pPr>
              <w:pStyle w:val="TableSmall"/>
            </w:pPr>
            <w:r>
              <w:rPr>
                <w:sz w:val="15"/>
              </w:rPr>
              <w:t>/evaluations/[activityId]</w:t>
            </w:r>
          </w:p>
        </w:tc>
        <w:tc>
          <w:tcPr>
            <w:tcW w:type="dxa" w:w="5213"/>
            <w:vAlign w:val="top"/>
            <w:tcMar>
              <w:top w:w="65" w:type="dxa"/>
              <w:start w:w="65" w:type="dxa"/>
              <w:bottom w:w="65" w:type="dxa"/>
              <w:end w:w="65" w:type="dxa"/>
            </w:tcMar>
          </w:tcPr>
          <w:p>
            <w:pPr>
              <w:pStyle w:val="TableSmall"/>
            </w:pPr>
            <w:r>
              <w:rPr>
                <w:sz w:val="15"/>
              </w:rPr>
              <w:t>Évaluations</w:t>
            </w:r>
          </w:p>
        </w:tc>
      </w:tr>
      <w:tr>
        <w:tc>
          <w:tcPr>
            <w:tcW w:type="dxa" w:w="5213"/>
            <w:vAlign w:val="top"/>
            <w:shd w:fill="F7F9FB"/>
            <w:tcMar>
              <w:top w:w="65" w:type="dxa"/>
              <w:start w:w="65" w:type="dxa"/>
              <w:bottom w:w="65" w:type="dxa"/>
              <w:end w:w="65" w:type="dxa"/>
            </w:tcMar>
          </w:tcPr>
          <w:p>
            <w:pPr>
              <w:pStyle w:val="TableSmall"/>
            </w:pPr>
            <w:r>
              <w:rPr>
                <w:sz w:val="15"/>
              </w:rPr>
              <w:t>/devoirs</w:t>
            </w:r>
          </w:p>
        </w:tc>
        <w:tc>
          <w:tcPr>
            <w:tcW w:type="dxa" w:w="5213"/>
            <w:vAlign w:val="top"/>
            <w:shd w:fill="F7F9FB"/>
            <w:tcMar>
              <w:top w:w="65" w:type="dxa"/>
              <w:start w:w="65" w:type="dxa"/>
              <w:bottom w:w="65" w:type="dxa"/>
              <w:end w:w="65" w:type="dxa"/>
            </w:tcMar>
          </w:tcPr>
          <w:p>
            <w:pPr>
              <w:pStyle w:val="TableSmall"/>
            </w:pPr>
            <w:r>
              <w:rPr>
                <w:sz w:val="15"/>
              </w:rPr>
              <w:t>Dépôts et corrections</w:t>
            </w:r>
          </w:p>
        </w:tc>
      </w:tr>
      <w:tr>
        <w:tc>
          <w:tcPr>
            <w:tcW w:type="dxa" w:w="5213"/>
            <w:vAlign w:val="top"/>
            <w:tcMar>
              <w:top w:w="65" w:type="dxa"/>
              <w:start w:w="65" w:type="dxa"/>
              <w:bottom w:w="65" w:type="dxa"/>
              <w:end w:w="65" w:type="dxa"/>
            </w:tcMar>
          </w:tcPr>
          <w:p>
            <w:pPr>
              <w:pStyle w:val="TableSmall"/>
            </w:pPr>
            <w:r>
              <w:rPr>
                <w:sz w:val="15"/>
              </w:rPr>
              <w:t>/forums</w:t>
            </w:r>
          </w:p>
        </w:tc>
        <w:tc>
          <w:tcPr>
            <w:tcW w:type="dxa" w:w="5213"/>
            <w:vAlign w:val="top"/>
            <w:tcMar>
              <w:top w:w="65" w:type="dxa"/>
              <w:start w:w="65" w:type="dxa"/>
              <w:bottom w:w="65" w:type="dxa"/>
              <w:end w:w="65" w:type="dxa"/>
            </w:tcMar>
          </w:tcPr>
          <w:p>
            <w:pPr>
              <w:pStyle w:val="TableSmall"/>
            </w:pPr>
            <w:r>
              <w:rPr>
                <w:sz w:val="15"/>
              </w:rPr>
              <w:t>Discussions</w:t>
            </w:r>
          </w:p>
        </w:tc>
      </w:tr>
      <w:tr>
        <w:tc>
          <w:tcPr>
            <w:tcW w:type="dxa" w:w="5213"/>
            <w:vAlign w:val="top"/>
            <w:shd w:fill="F7F9FB"/>
            <w:tcMar>
              <w:top w:w="65" w:type="dxa"/>
              <w:start w:w="65" w:type="dxa"/>
              <w:bottom w:w="65" w:type="dxa"/>
              <w:end w:w="65" w:type="dxa"/>
            </w:tcMar>
          </w:tcPr>
          <w:p>
            <w:pPr>
              <w:pStyle w:val="TableSmall"/>
            </w:pPr>
            <w:r>
              <w:rPr>
                <w:sz w:val="15"/>
              </w:rPr>
              <w:t>/calendrier</w:t>
            </w:r>
          </w:p>
        </w:tc>
        <w:tc>
          <w:tcPr>
            <w:tcW w:type="dxa" w:w="5213"/>
            <w:vAlign w:val="top"/>
            <w:shd w:fill="F7F9FB"/>
            <w:tcMar>
              <w:top w:w="65" w:type="dxa"/>
              <w:start w:w="65" w:type="dxa"/>
              <w:bottom w:w="65" w:type="dxa"/>
              <w:end w:w="65" w:type="dxa"/>
            </w:tcMar>
          </w:tcPr>
          <w:p>
            <w:pPr>
              <w:pStyle w:val="TableSmall"/>
            </w:pPr>
            <w:r>
              <w:rPr>
                <w:sz w:val="15"/>
              </w:rPr>
              <w:t>Sessions et échéances</w:t>
            </w:r>
          </w:p>
        </w:tc>
      </w:tr>
      <w:tr>
        <w:tc>
          <w:tcPr>
            <w:tcW w:type="dxa" w:w="5213"/>
            <w:vAlign w:val="top"/>
            <w:tcMar>
              <w:top w:w="65" w:type="dxa"/>
              <w:start w:w="65" w:type="dxa"/>
              <w:bottom w:w="65" w:type="dxa"/>
              <w:end w:w="65" w:type="dxa"/>
            </w:tcMar>
          </w:tcPr>
          <w:p>
            <w:pPr>
              <w:pStyle w:val="TableSmall"/>
            </w:pPr>
            <w:r>
              <w:rPr>
                <w:sz w:val="15"/>
              </w:rPr>
              <w:t>/certificats</w:t>
            </w:r>
          </w:p>
        </w:tc>
        <w:tc>
          <w:tcPr>
            <w:tcW w:type="dxa" w:w="5213"/>
            <w:vAlign w:val="top"/>
            <w:tcMar>
              <w:top w:w="65" w:type="dxa"/>
              <w:start w:w="65" w:type="dxa"/>
              <w:bottom w:w="65" w:type="dxa"/>
              <w:end w:w="65" w:type="dxa"/>
            </w:tcMar>
          </w:tcPr>
          <w:p>
            <w:pPr>
              <w:pStyle w:val="TableSmall"/>
            </w:pPr>
            <w:r>
              <w:rPr>
                <w:sz w:val="15"/>
              </w:rPr>
              <w:t>Attestations/certificats</w:t>
            </w:r>
          </w:p>
        </w:tc>
      </w:tr>
      <w:tr>
        <w:tc>
          <w:tcPr>
            <w:tcW w:type="dxa" w:w="5213"/>
            <w:vAlign w:val="top"/>
            <w:shd w:fill="F7F9FB"/>
            <w:tcMar>
              <w:top w:w="65" w:type="dxa"/>
              <w:start w:w="65" w:type="dxa"/>
              <w:bottom w:w="65" w:type="dxa"/>
              <w:end w:w="65" w:type="dxa"/>
            </w:tcMar>
          </w:tcPr>
          <w:p>
            <w:pPr>
              <w:pStyle w:val="TableSmall"/>
            </w:pPr>
            <w:r>
              <w:rPr>
                <w:sz w:val="15"/>
              </w:rPr>
              <w:t>/demande-formation</w:t>
            </w:r>
          </w:p>
        </w:tc>
        <w:tc>
          <w:tcPr>
            <w:tcW w:type="dxa" w:w="5213"/>
            <w:vAlign w:val="top"/>
            <w:shd w:fill="F7F9FB"/>
            <w:tcMar>
              <w:top w:w="65" w:type="dxa"/>
              <w:start w:w="65" w:type="dxa"/>
              <w:bottom w:w="65" w:type="dxa"/>
              <w:end w:w="65" w:type="dxa"/>
            </w:tcMar>
          </w:tcPr>
          <w:p>
            <w:pPr>
              <w:pStyle w:val="TableSmall"/>
            </w:pPr>
            <w:r>
              <w:rPr>
                <w:sz w:val="15"/>
              </w:rPr>
              <w:t>Workflow institutionnel</w:t>
            </w:r>
          </w:p>
        </w:tc>
      </w:tr>
      <w:tr>
        <w:tc>
          <w:tcPr>
            <w:tcW w:type="dxa" w:w="5213"/>
            <w:vAlign w:val="top"/>
            <w:tcMar>
              <w:top w:w="65" w:type="dxa"/>
              <w:start w:w="65" w:type="dxa"/>
              <w:bottom w:w="65" w:type="dxa"/>
              <w:end w:w="65" w:type="dxa"/>
            </w:tcMar>
          </w:tcPr>
          <w:p>
            <w:pPr>
              <w:pStyle w:val="TableSmall"/>
            </w:pPr>
            <w:r>
              <w:rPr>
                <w:sz w:val="15"/>
              </w:rPr>
              <w:t>/organisation</w:t>
            </w:r>
          </w:p>
        </w:tc>
        <w:tc>
          <w:tcPr>
            <w:tcW w:type="dxa" w:w="5213"/>
            <w:vAlign w:val="top"/>
            <w:tcMar>
              <w:top w:w="65" w:type="dxa"/>
              <w:start w:w="65" w:type="dxa"/>
              <w:bottom w:w="65" w:type="dxa"/>
              <w:end w:w="65" w:type="dxa"/>
            </w:tcMar>
          </w:tcPr>
          <w:p>
            <w:pPr>
              <w:pStyle w:val="TableSmall"/>
            </w:pPr>
            <w:r>
              <w:rPr>
                <w:sz w:val="15"/>
              </w:rPr>
              <w:t>Dashboard responsable d’organisation</w:t>
            </w:r>
          </w:p>
        </w:tc>
      </w:tr>
      <w:tr>
        <w:tc>
          <w:tcPr>
            <w:tcW w:type="dxa" w:w="5213"/>
            <w:vAlign w:val="top"/>
            <w:shd w:fill="F7F9FB"/>
            <w:tcMar>
              <w:top w:w="65" w:type="dxa"/>
              <w:start w:w="65" w:type="dxa"/>
              <w:bottom w:w="65" w:type="dxa"/>
              <w:end w:w="65" w:type="dxa"/>
            </w:tcMar>
          </w:tcPr>
          <w:p>
            <w:pPr>
              <w:pStyle w:val="TableSmall"/>
            </w:pPr>
            <w:r>
              <w:rPr>
                <w:sz w:val="15"/>
              </w:rPr>
              <w:t>/formateur</w:t>
            </w:r>
          </w:p>
        </w:tc>
        <w:tc>
          <w:tcPr>
            <w:tcW w:type="dxa" w:w="5213"/>
            <w:vAlign w:val="top"/>
            <w:shd w:fill="F7F9FB"/>
            <w:tcMar>
              <w:top w:w="65" w:type="dxa"/>
              <w:start w:w="65" w:type="dxa"/>
              <w:bottom w:w="65" w:type="dxa"/>
              <w:end w:w="65" w:type="dxa"/>
            </w:tcMar>
          </w:tcPr>
          <w:p>
            <w:pPr>
              <w:pStyle w:val="TableSmall"/>
            </w:pPr>
            <w:r>
              <w:rPr>
                <w:sz w:val="15"/>
              </w:rPr>
              <w:t>Dashboard formateur</w:t>
            </w:r>
          </w:p>
        </w:tc>
      </w:tr>
      <w:tr>
        <w:tc>
          <w:tcPr>
            <w:tcW w:type="dxa" w:w="5213"/>
            <w:vAlign w:val="top"/>
            <w:tcMar>
              <w:top w:w="65" w:type="dxa"/>
              <w:start w:w="65" w:type="dxa"/>
              <w:bottom w:w="65" w:type="dxa"/>
              <w:end w:w="65" w:type="dxa"/>
            </w:tcMar>
          </w:tcPr>
          <w:p>
            <w:pPr>
              <w:pStyle w:val="TableSmall"/>
            </w:pPr>
            <w:r>
              <w:rPr>
                <w:sz w:val="15"/>
              </w:rPr>
              <w:t>/coordination</w:t>
            </w:r>
          </w:p>
        </w:tc>
        <w:tc>
          <w:tcPr>
            <w:tcW w:type="dxa" w:w="5213"/>
            <w:vAlign w:val="top"/>
            <w:tcMar>
              <w:top w:w="65" w:type="dxa"/>
              <w:start w:w="65" w:type="dxa"/>
              <w:bottom w:w="65" w:type="dxa"/>
              <w:end w:w="65" w:type="dxa"/>
            </w:tcMar>
          </w:tcPr>
          <w:p>
            <w:pPr>
              <w:pStyle w:val="TableSmall"/>
            </w:pPr>
            <w:r>
              <w:rPr>
                <w:sz w:val="15"/>
              </w:rPr>
              <w:t>Pilotage FETRAG</w:t>
            </w:r>
          </w:p>
        </w:tc>
      </w:tr>
      <w:tr>
        <w:tc>
          <w:tcPr>
            <w:tcW w:type="dxa" w:w="5213"/>
            <w:vAlign w:val="top"/>
            <w:shd w:fill="F7F9FB"/>
            <w:tcMar>
              <w:top w:w="65" w:type="dxa"/>
              <w:start w:w="65" w:type="dxa"/>
              <w:bottom w:w="65" w:type="dxa"/>
              <w:end w:w="65" w:type="dxa"/>
            </w:tcMar>
          </w:tcPr>
          <w:p>
            <w:pPr>
              <w:pStyle w:val="TableSmall"/>
            </w:pPr>
            <w:r>
              <w:rPr>
                <w:sz w:val="15"/>
              </w:rPr>
              <w:t>/admin</w:t>
            </w:r>
          </w:p>
        </w:tc>
        <w:tc>
          <w:tcPr>
            <w:tcW w:type="dxa" w:w="5213"/>
            <w:vAlign w:val="top"/>
            <w:shd w:fill="F7F9FB"/>
            <w:tcMar>
              <w:top w:w="65" w:type="dxa"/>
              <w:start w:w="65" w:type="dxa"/>
              <w:bottom w:w="65" w:type="dxa"/>
              <w:end w:w="65" w:type="dxa"/>
            </w:tcMar>
          </w:tcPr>
          <w:p>
            <w:pPr>
              <w:pStyle w:val="TableSmall"/>
            </w:pPr>
            <w:r>
              <w:rPr>
                <w:sz w:val="15"/>
              </w:rPr>
              <w:t>Administration LMS</w:t>
            </w:r>
          </w:p>
        </w:tc>
      </w:tr>
    </w:tbl>
    <w:p>
      <w:pPr>
        <w:spacing w:after="20"/>
      </w:pPr>
    </w:p>
    <w:p>
      <w:pPr>
        <w:pStyle w:val="Heading1"/>
      </w:pPr>
      <w:r>
        <w:t>39. Variables d’environnement - familles attendues</w:t>
      </w:r>
    </w:p>
    <w:p>
      <w:r>
        <w:t xml:space="preserve">Les noms exacts seront figés dans </w:t>
      </w:r>
      <w:r>
        <w:rPr>
          <w:rFonts w:ascii="Consolas" w:hAnsi="Consolas"/>
          <w:sz w:val="17"/>
        </w:rPr>
        <w:t>packages/config</w:t>
      </w:r>
      <w:r>
        <w:t>. Aucune valeur secrète n’est stockée dans le dépôt.</w:t>
      </w:r>
    </w:p>
    <w:p>
      <w:pPr>
        <w:pStyle w:val="ListBullet"/>
        <w:spacing w:after="40"/>
      </w:pPr>
      <w:r>
        <w:rPr>
          <w:rFonts w:ascii="Consolas" w:hAnsi="Consolas"/>
          <w:sz w:val="17"/>
        </w:rPr>
        <w:t>DATABASE_URL</w:t>
      </w:r>
      <w:r>
        <w:t xml:space="preserve">, </w:t>
      </w:r>
      <w:r>
        <w:rPr>
          <w:rFonts w:ascii="Consolas" w:hAnsi="Consolas"/>
          <w:sz w:val="17"/>
        </w:rPr>
        <w:t>DIRECT_URL</w:t>
      </w:r>
      <w:r>
        <w:t xml:space="preserve"> le cas échéant.</w:t>
      </w:r>
    </w:p>
    <w:p>
      <w:pPr>
        <w:pStyle w:val="ListBullet"/>
        <w:spacing w:after="40"/>
      </w:pPr>
      <w:r>
        <w:rPr>
          <w:rFonts w:ascii="Consolas" w:hAnsi="Consolas"/>
          <w:sz w:val="17"/>
        </w:rPr>
        <w:t>REDIS_URL</w:t>
      </w:r>
      <w:r>
        <w:t>.</w:t>
      </w:r>
    </w:p>
    <w:p>
      <w:pPr>
        <w:pStyle w:val="ListBullet"/>
        <w:spacing w:after="40"/>
      </w:pPr>
      <w:r>
        <w:rPr>
          <w:rFonts w:ascii="Consolas" w:hAnsi="Consolas"/>
          <w:sz w:val="17"/>
        </w:rPr>
        <w:t>S3_ENDPOINT</w:t>
      </w:r>
      <w:r>
        <w:t xml:space="preserve">, </w:t>
      </w:r>
      <w:r>
        <w:rPr>
          <w:rFonts w:ascii="Consolas" w:hAnsi="Consolas"/>
          <w:sz w:val="17"/>
        </w:rPr>
        <w:t>S3_REGION</w:t>
      </w:r>
      <w:r>
        <w:t xml:space="preserve">, </w:t>
      </w:r>
      <w:r>
        <w:rPr>
          <w:rFonts w:ascii="Consolas" w:hAnsi="Consolas"/>
          <w:sz w:val="17"/>
        </w:rPr>
        <w:t>S3_BUCKET_*</w:t>
      </w:r>
      <w:r>
        <w:t>, identifiants d’accès.</w:t>
      </w:r>
    </w:p>
    <w:p>
      <w:pPr>
        <w:pStyle w:val="ListBullet"/>
        <w:spacing w:after="40"/>
      </w:pPr>
      <w:r>
        <w:rPr>
          <w:rFonts w:ascii="Consolas" w:hAnsi="Consolas"/>
          <w:sz w:val="17"/>
        </w:rPr>
        <w:t>OIDC_ISSUER</w:t>
      </w:r>
      <w:r>
        <w:t xml:space="preserve">, </w:t>
      </w:r>
      <w:r>
        <w:rPr>
          <w:rFonts w:ascii="Consolas" w:hAnsi="Consolas"/>
          <w:sz w:val="17"/>
        </w:rPr>
        <w:t>OIDC_CLIENT_ID</w:t>
      </w:r>
      <w:r>
        <w:t xml:space="preserve">, </w:t>
      </w:r>
      <w:r>
        <w:rPr>
          <w:rFonts w:ascii="Consolas" w:hAnsi="Consolas"/>
          <w:sz w:val="17"/>
        </w:rPr>
        <w:t>OIDC_CLIENT_SECRET</w:t>
      </w:r>
      <w:r>
        <w:t>, URLs de callback.</w:t>
      </w:r>
    </w:p>
    <w:p>
      <w:pPr>
        <w:pStyle w:val="ListBullet"/>
        <w:spacing w:after="40"/>
      </w:pPr>
      <w:r>
        <w:rPr>
          <w:rFonts w:ascii="Consolas" w:hAnsi="Consolas"/>
          <w:sz w:val="17"/>
        </w:rPr>
        <w:t>APP_WEB_URL</w:t>
      </w:r>
      <w:r>
        <w:t xml:space="preserve">, </w:t>
      </w:r>
      <w:r>
        <w:rPr>
          <w:rFonts w:ascii="Consolas" w:hAnsi="Consolas"/>
          <w:sz w:val="17"/>
        </w:rPr>
        <w:t>APP_LMS_URL</w:t>
      </w:r>
      <w:r>
        <w:t xml:space="preserve">, </w:t>
      </w:r>
      <w:r>
        <w:rPr>
          <w:rFonts w:ascii="Consolas" w:hAnsi="Consolas"/>
          <w:sz w:val="17"/>
        </w:rPr>
        <w:t>API_URL</w:t>
      </w:r>
      <w:r>
        <w:t>.</w:t>
      </w:r>
    </w:p>
    <w:p>
      <w:pPr>
        <w:pStyle w:val="ListBullet"/>
        <w:spacing w:after="40"/>
      </w:pPr>
      <w:r>
        <w:rPr>
          <w:rFonts w:ascii="Consolas" w:hAnsi="Consolas"/>
          <w:sz w:val="17"/>
        </w:rPr>
        <w:t>SMTP_*</w:t>
      </w:r>
      <w:r>
        <w:t xml:space="preserve"> ou paramètres du fournisseur email.</w:t>
      </w:r>
    </w:p>
    <w:p>
      <w:pPr>
        <w:pStyle w:val="ListBullet"/>
        <w:spacing w:after="40"/>
      </w:pPr>
      <w:r>
        <w:rPr>
          <w:rFonts w:ascii="Consolas" w:hAnsi="Consolas"/>
          <w:sz w:val="17"/>
        </w:rPr>
        <w:t>PAYMENT_PROVIDER</w:t>
      </w:r>
      <w:r>
        <w:t>, clés sandbox/production et secret webhook.</w:t>
      </w:r>
    </w:p>
    <w:p>
      <w:pPr>
        <w:pStyle w:val="ListBullet"/>
        <w:spacing w:after="40"/>
      </w:pPr>
      <w:r>
        <w:rPr>
          <w:rFonts w:ascii="Consolas" w:hAnsi="Consolas"/>
          <w:sz w:val="17"/>
        </w:rPr>
        <w:t>OTEL_*</w:t>
      </w:r>
      <w:r>
        <w:t>, DSN APM/erreurs.</w:t>
      </w:r>
    </w:p>
    <w:p>
      <w:pPr>
        <w:pStyle w:val="ListBullet"/>
        <w:spacing w:after="40"/>
      </w:pPr>
      <w:r>
        <w:rPr>
          <w:rFonts w:ascii="Consolas" w:hAnsi="Consolas"/>
          <w:sz w:val="17"/>
        </w:rPr>
        <w:t>CRON/WORKER</w:t>
      </w:r>
      <w:r>
        <w:t xml:space="preserve"> et paramètres de jobs.</w:t>
      </w:r>
    </w:p>
    <w:p>
      <w:pPr>
        <w:pStyle w:val="ListBullet"/>
        <w:spacing w:after="40"/>
      </w:pPr>
      <w:r>
        <w:rPr>
          <w:rFonts w:ascii="Consolas" w:hAnsi="Consolas"/>
          <w:sz w:val="17"/>
        </w:rPr>
        <w:t>FEATURE_*</w:t>
      </w:r>
      <w:r>
        <w:t xml:space="preserve"> pour fonctionnalités optionnelles.</w:t>
      </w:r>
    </w:p>
    <w:p>
      <w:pPr>
        <w:pStyle w:val="Heading1"/>
      </w:pPr>
      <w:r>
        <w:t>40. Seed de démonstration et recette</w:t>
      </w:r>
    </w:p>
    <w:p>
      <w:pPr>
        <w:pStyle w:val="ListBullet"/>
        <w:spacing w:after="40"/>
      </w:pPr>
      <w:r>
        <w:t>Les 10 modules de formation FETRAG.</w:t>
      </w:r>
    </w:p>
    <w:p>
      <w:pPr>
        <w:pStyle w:val="ListBullet"/>
        <w:spacing w:after="40"/>
      </w:pPr>
      <w:r>
        <w:t>Une organisation syndicale de démonstration et un responsable.</w:t>
      </w:r>
    </w:p>
    <w:p>
      <w:pPr>
        <w:pStyle w:val="ListBullet"/>
        <w:spacing w:after="40"/>
      </w:pPr>
      <w:r>
        <w:t>Au moins 10 apprenants de test.</w:t>
      </w:r>
    </w:p>
    <w:p>
      <w:pPr>
        <w:pStyle w:val="ListBullet"/>
        <w:spacing w:after="40"/>
      </w:pPr>
      <w:r>
        <w:t>Un formateur, un coordinateur, un éditeur, un finance et un support.</w:t>
      </w:r>
    </w:p>
    <w:p>
      <w:pPr>
        <w:pStyle w:val="ListBullet"/>
        <w:spacing w:after="40"/>
      </w:pPr>
      <w:r>
        <w:t>Un cours pilote complet avec texte, document, vidéo/audio, quiz, devoir, présence et certificat.</w:t>
      </w:r>
    </w:p>
    <w:p>
      <w:pPr>
        <w:pStyle w:val="ListBullet"/>
        <w:spacing w:after="40"/>
      </w:pPr>
      <w:r>
        <w:t>Un événement/Master Class de démonstration.</w:t>
      </w:r>
    </w:p>
    <w:p>
      <w:pPr>
        <w:pStyle w:val="ListBullet"/>
        <w:spacing w:after="40"/>
      </w:pPr>
      <w:r>
        <w:t>Un service gratuit et un service payant.</w:t>
      </w:r>
    </w:p>
    <w:p>
      <w:pPr>
        <w:pStyle w:val="ListBullet"/>
        <w:spacing w:after="40"/>
      </w:pPr>
      <w:r>
        <w:t>Un paiement sandbox réussi, un échoué et un remboursé.</w:t>
      </w:r>
    </w:p>
    <w:p>
      <w:pPr>
        <w:pStyle w:val="ListBullet"/>
        <w:spacing w:after="40"/>
      </w:pPr>
      <w:r>
        <w:t>Une demande institutionnelle dans chaque statut majeur.</w:t>
      </w:r>
    </w:p>
    <w:p>
      <w:pPr>
        <w:pStyle w:val="Heading1"/>
      </w:pPr>
      <w:r>
        <w:t>41. Réversibilité</w:t>
      </w:r>
    </w:p>
    <w:p>
      <w:pPr>
        <w:pStyle w:val="ListBullet"/>
        <w:spacing w:after="40"/>
      </w:pPr>
      <w:r>
        <w:t>Le code source, scripts de build, migrations, documentation et configurations non secrètes appartiennent au périmètre livré.</w:t>
      </w:r>
    </w:p>
    <w:p>
      <w:pPr>
        <w:pStyle w:val="ListBullet"/>
        <w:spacing w:after="40"/>
      </w:pPr>
      <w:r>
        <w:t>Export des utilisateurs/profils, organisations, cours, inscriptions, résultats, certificats, paiements et contenus dans des formats exploitables.</w:t>
      </w:r>
    </w:p>
    <w:p>
      <w:pPr>
        <w:pStyle w:val="ListBullet"/>
        <w:spacing w:after="40"/>
      </w:pPr>
      <w:r>
        <w:t>Export des médias et documents avec leurs métadonnées.</w:t>
      </w:r>
    </w:p>
    <w:p>
      <w:pPr>
        <w:pStyle w:val="ListBullet"/>
        <w:spacing w:after="40"/>
      </w:pPr>
      <w:r>
        <w:t>Procédure documentée pour reconstruire l’environnement à partir d’un dépôt propre et d’une sauvegarde.</w:t>
      </w:r>
    </w:p>
    <w:p>
      <w:pPr>
        <w:pStyle w:val="ListBullet"/>
        <w:spacing w:after="40"/>
      </w:pPr>
      <w:r>
        <w:t>Aucune dépendance à un service SaaS ne doit empêcher la récupération des données essentielles.</w:t>
      </w:r>
    </w:p>
    <w:p>
      <w:pPr>
        <w:pStyle w:val="Heading1"/>
      </w:pPr>
      <w:r>
        <w:t>42. Conclusion</w:t>
      </w:r>
    </w:p>
    <w:p>
      <w:r>
        <w:t xml:space="preserve">Le choix du monorepo est cohérent avec la vision FETRAG : </w:t>
      </w:r>
      <w:r>
        <w:rPr>
          <w:b/>
        </w:rPr>
        <w:t>deux expériences distinctes, mais un produit numérique unifié</w:t>
      </w:r>
      <w:r>
        <w:t>. La réussite dépend moins du simple choix de Next.js que de la discipline d’architecture : identité standardisée, contrats communs, permissions centralisées, séparation des domaines, tests d’autorisation, services externes derrière des adaptateurs et attention forte au mobile/bas débit. Ce cahier des charges peut être utilisé directement comme document maître pour piloter Claude Code, les revues de développement et la recette FETRAG.</w:t>
      </w:r>
    </w:p>
    <w:sectPr w:rsidR="00FC693F" w:rsidRPr="0006063C" w:rsidSect="00034616">
      <w:headerReference w:type="default" r:id="rId10"/>
      <w:footerReference w:type="default" r:id="rId11"/>
      <w:pgSz w:w="12240" w:h="15840"/>
      <w:pgMar w:top="907" w:right="907" w:bottom="850" w:left="90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E6E6E"/>
        <w:sz w:val="15"/>
      </w:rPr>
      <w:t>FETRAG - Travail · Efficacité · Solidarité</w:t>
    </w:r>
  </w:p>
  <w:p>
    <w:pP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B66B2"/>
        <w:sz w:val="16"/>
      </w:rPr>
      <w:t>FETRAG | Cahier des charges unifié - Web + LMS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B66B2"/>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B66B2"/>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8BBE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B66B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mall">
    <w:name w:val="Table Small"/>
    <w:pPr>
      <w:spacing w:after="0"/>
    </w:pPr>
    <w:rPr>
      <w:rFonts w:ascii="Aptos" w:hAnsi="Apto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UNIFIÉ — ÉCOSYSTÈME NUMÉRIQUE FETRAG</dc:title>
  <dc:subject>Portail FETRAG + LMS, monorepo Node.js</dc:subject>
  <dc:creator>FETRAG</dc:creator>
  <cp:keywords/>
  <dc:description>generated by python-docx</dc:description>
  <cp:lastModifiedBy/>
  <cp:revision>1</cp:revision>
  <dcterms:created xsi:type="dcterms:W3CDTF">2013-12-23T23:15:00Z</dcterms:created>
  <dcterms:modified xsi:type="dcterms:W3CDTF">2013-12-23T23:15:00Z</dcterms:modified>
  <cp:category/>
</cp:coreProperties>
</file>