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20 juin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Vos pouvoirs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 sans restriction (voir le Guide Admin) : utilisateurs, coachs, finances.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en particulier rechercher n'importe quel coach (bouton « Coachs ») et consulter ou modifier son profil complet en mode 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Validation des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disposez en plus de la gestion des administrateurs et des paramètres de la plateforme.</w:t>
      </w:r>
    </w:p>
    <w:p>
      <w:pPr>
        <w:pStyle w:val="Heading1"/>
      </w:pPr>
      <w:r>
        <w:t xml:space="preserve">2.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3.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4.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5.  Gérer les administrateurs</w:t>
      </w:r>
    </w:p>
    <w:p>
      <w:pPr>
        <w:spacing w:after="120"/>
      </w:pPr>
      <w:r>
        <w:rPr>
          <w:sz w:val="22"/>
          <w:szCs w:val="22"/>
        </w:rPr>
        <w:t xml:space="preserve">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 email existant, avec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les permissions d'un administrateur, ou révoquez-le (il redevient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N'accordez que les permissions nécessaires.</w:t>
      </w:r>
    </w:p>
    <w:p>
      <w:pPr>
        <w:pStyle w:val="Heading1"/>
      </w:pPr>
      <w:r>
        <w:t xml:space="preserve">6.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réglez le délai de conservation (1 à 365 jours ; 30 par défaut) et l'heure de purge (UTC).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Utilisez « Lancer la purge maintenant » pour exécuter immédiatement le nettoyage ; la date de dernière purge est indiquée.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est déclenchée chaque jour par une tâche planifiée (Vercel Cron).</w:t>
      </w:r>
    </w:p>
    <w:p>
      <w:pPr>
        <w:pStyle w:val="Heading1"/>
      </w:pPr>
      <w:r>
        <w:t xml:space="preserve">7.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destinataire « Support » de la messagerie : il reçoit les messages que les utilisateurs adressent au support.</w:t>
      </w:r>
    </w:p>
    <w:p>
      <w:pPr>
        <w:pStyle w:val="Heading1"/>
      </w:pPr>
      <w:r>
        <w:t xml:space="preserve">8.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Sécurisez tout particulièrement le compte super-administrateur.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 et les profils coachs en attente de validation.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Attribuez les rôles d'administration avec parcimonie.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2026-06-20T22:09:22.675Z</dcterms:created>
  <dcterms:modified xsi:type="dcterms:W3CDTF">2026-06-20T22:09:22.675Z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