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Super-Admin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Gouvernance de la plateforme : administrateurs et paramètres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Vos pouvoirs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 sans restriction (voir le Guide Admin) : utilisateurs, coachs, finances.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en particulier rechercher n'importe quel coach (bouton « Coachs ») et consulter ou modifier son profil complet en mode 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en plus de la gestion des administrateurs et des paramètres de la plateforme.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2. Gérer les administrateurs</w:t>
      </w:r>
    </w:p>
    <w:p>
      <w:pPr>
        <w:spacing w:after="120"/>
      </w:pPr>
      <w:r>
        <w:rPr>
          <w:sz w:val="22"/>
          <w:szCs w:val="22"/>
        </w:rPr>
        <w:t xml:space="preserve">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 email existant, avec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les permissions d'un administrateur, ou révoquez-le (il redevient parent).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N'accordez que les permissions nécessaires.</w:t>
      </w:r>
    </w:p>
    <w:p>
      <w:pPr>
        <w:pStyle w:val="Heading1"/>
      </w:pPr>
      <w:r>
        <w:t xml:space="preserve">3.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réglez le délai de conservation (1 à 365 jours ; 30 par défaut) et l'heure de purge (UTC).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Utilisez « Lancer la purge maintenant » pour exécuter immédiatement le nettoyage ; la date de dernière purge est indiquée.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est déclenchée chaque jour par une tâche planifiée (Vercel Cron).</w:t>
      </w:r>
    </w:p>
    <w:p>
      <w:pPr>
        <w:pStyle w:val="Heading1"/>
      </w:pPr>
      <w:r>
        <w:t xml:space="preserve">4.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destinataire « Support » de la messagerie : il reçoit les messages que les utilisateurs adressent au support.</w:t>
      </w:r>
    </w:p>
    <w:p>
      <w:pPr>
        <w:pStyle w:val="Heading1"/>
      </w:pPr>
      <w:r>
        <w:t xml:space="preserve">5.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Sécurisez tout particulièrement le compte super-administrateur.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profils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Attribuez les rôles d'administration avec parcimonie.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2026-06-13T06:32:47.498Z</dcterms:created>
  <dcterms:modified xsi:type="dcterms:W3CDTF">2026-06-13T06:32:47.498Z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