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E6B3A"/>
          <w:sz w:val="64"/>
          <w:szCs w:val="64"/>
        </w:rPr>
        <w:t xml:space="preserve">EduWeb</w:t>
      </w:r>
    </w:p>
    <w:p>
      <w:pPr>
        <w:spacing w:after="700"/>
        <w:jc w:val="center"/>
      </w:pPr>
      <w:r>
        <w:rPr>
          <w:color w:val="1E9E57"/>
          <w:spacing w:val="30"/>
          <w:sz w:val="18"/>
          <w:szCs w:val="18"/>
        </w:rPr>
        <w:t xml:space="preserve">FAMILY &amp; COACHING</w:t>
      </w:r>
    </w:p>
    <w:p>
      <w:pPr>
        <w:spacing w:after="120"/>
        <w:jc w:val="center"/>
      </w:pPr>
      <w:r>
        <w:rPr>
          <w:color w:val="1E9E57"/>
          <w:spacing w:val="40"/>
          <w:sz w:val="22"/>
          <w:szCs w:val="22"/>
        </w:rPr>
        <w:t xml:space="preserve">GUIDE DE L'UTILISATEUR</w:t>
      </w:r>
    </w:p>
    <w:p>
      <w:pPr>
        <w:shd w:fill="0E6B3A" w:color="auto" w:val="clear"/>
        <w:spacing w:after="200" w:before="120"/>
        <w:jc w:val="center"/>
      </w:pPr>
      <w:r>
        <w:rPr>
          <w:b/>
          <w:bCs/>
          <w:color w:val="FFFFFF"/>
          <w:sz w:val="44"/>
          <w:szCs w:val="44"/>
        </w:rPr>
        <w:t xml:space="preserve">  Admin  </w:t>
      </w:r>
    </w:p>
    <w:p>
      <w:pPr>
        <w:spacing w:after="80"/>
        <w:jc w:val="center"/>
      </w:pPr>
      <w:r>
        <w:rPr>
          <w:i/>
          <w:iCs/>
          <w:color w:val="666666"/>
          <w:sz w:val="24"/>
          <w:szCs w:val="24"/>
        </w:rPr>
        <w:t xml:space="preserve">Pilotez la plateforme selon vos permissions</w:t>
      </w:r>
    </w:p>
    <w:p>
      <w:pPr>
        <w:pBdr>
          <w:top w:val="single" w:color="1E9E57" w:sz="6" w:space="8"/>
        </w:pBdr>
        <w:spacing w:after="0" w:before="200"/>
        <w:jc w:val="center"/>
      </w:pPr>
      <w:r>
        <w:rPr>
          <w:color w:val="999999"/>
          <w:sz w:val="18"/>
          <w:szCs w:val="18"/>
        </w:rPr>
        <w:t xml:space="preserve">Document de formation</w:t>
      </w:r>
    </w:p>
    <w:p>
      <w:pPr>
        <w:spacing w:after="0"/>
        <w:jc w:val="center"/>
      </w:pPr>
      <w:r>
        <w:rPr>
          <w:color w:val="999999"/>
          <w:sz w:val="16"/>
          <w:szCs w:val="16"/>
        </w:rPr>
        <w:t xml:space="preserve">family.eduweb.ci · Version du 17 octobre 2026</w:t>
      </w:r>
    </w:p>
    <w:p>
      <w:r>
        <w:br w:type="page"/>
      </w:r>
    </w:p>
    <w:p>
      <w:pPr>
        <w:pBdr>
          <w:bottom w:val="single" w:color="1E9E57" w:sz="8" w:space="6"/>
        </w:pBdr>
        <w:spacing w:after="160"/>
      </w:pPr>
      <w:r>
        <w:rPr>
          <w:b/>
          <w:bCs/>
          <w:color w:val="0E6B3A"/>
          <w:sz w:val="36"/>
          <w:szCs w:val="36"/>
        </w:rPr>
        <w:t xml:space="preserve">Sommaire</w:t>
      </w:r>
    </w:p>
    <w:sdt>
      <w:sdtPr>
        <w:alias w:val="Sommaire"/>
      </w:sdtPr>
      <w:sdtContent>
        <w:p>
          <w:pPr>
            <w:pStyle w:val="TOC1"/>
            <w:tabs>
              <w:tab w:val="right" w:pos="9026" w:leader="dot"/>
            </w:tabs>
          </w:pPr>
          <w:r>
            <w:fldChar w:fldCharType="begin" w:dirty="true"/>
            <w:instrText xml:space="preserve">TOC \h \o "1-1"</w:instrText>
            <w:fldChar w:fldCharType="separate"/>
          </w:r>
          <w:hyperlink w:history="1" w:anchor="_Toc52">
            <w:r>
              <w:t xml:space="preserve">1.  Bien démarrer — à lire en premier</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2.  Connexion et tableau de bord</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3.  Langue de lecture</w:t>
            </w:r>
            <w:r>
              <w:tab/>
            </w:r>
            <w:r>
              <w:fldChar w:fldCharType="begin" w:dirty="true"/>
              <w:instrText xml:space="preserve">PAGEREF _Toc54 \h</w:instrText>
              <w:fldChar w:fldCharType="separate"/>
              <w:fldChar w:fldCharType="end"/>
            </w:r>
          </w:hyperlink>
        </w:p>
        <w:p>
          <w:pPr>
            <w:pStyle w:val="TOC1"/>
            <w:tabs>
              <w:tab w:val="right" w:pos="9026" w:leader="dot"/>
            </w:tabs>
          </w:pPr>
          <w:hyperlink w:history="1" w:anchor="_Toc55">
            <w:r>
              <w:t xml:space="preserve">4.  Besoin d'aide ?</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5.  Installer l'application sur votre appareil</w:t>
            </w:r>
            <w:r>
              <w:tab/>
            </w:r>
            <w:r>
              <w:fldChar w:fldCharType="begin" w:dirty="true"/>
              <w:instrText xml:space="preserve">PAGEREF _Toc56 \h</w:instrText>
              <w:fldChar w:fldCharType="separate"/>
              <w:fldChar w:fldCharType="end"/>
            </w:r>
          </w:hyperlink>
        </w:p>
        <w:p>
          <w:pPr>
            <w:pStyle w:val="TOC1"/>
            <w:tabs>
              <w:tab w:val="right" w:pos="9026" w:leader="dot"/>
            </w:tabs>
          </w:pPr>
          <w:hyperlink w:history="1" w:anchor="_Toc57">
            <w:r>
              <w:t xml:space="preserve">6.  Gestion des utilisateurs</w:t>
            </w:r>
            <w:r>
              <w:tab/>
            </w:r>
            <w:r>
              <w:fldChar w:fldCharType="begin" w:dirty="true"/>
              <w:instrText xml:space="preserve">PAGEREF _Toc57 \h</w:instrText>
              <w:fldChar w:fldCharType="separate"/>
              <w:fldChar w:fldCharType="end"/>
            </w:r>
          </w:hyperlink>
        </w:p>
        <w:p>
          <w:pPr>
            <w:pStyle w:val="TOC1"/>
            <w:tabs>
              <w:tab w:val="right" w:pos="9026" w:leader="dot"/>
            </w:tabs>
          </w:pPr>
          <w:hyperlink w:history="1" w:anchor="_Toc58">
            <w:r>
              <w:t xml:space="preserve">7.  Coachs : rechercher, consulter, modifier</w:t>
            </w:r>
            <w:r>
              <w:tab/>
            </w:r>
            <w:r>
              <w:fldChar w:fldCharType="begin" w:dirty="true"/>
              <w:instrText xml:space="preserve">PAGEREF _Toc58 \h</w:instrText>
              <w:fldChar w:fldCharType="separate"/>
              <w:fldChar w:fldCharType="end"/>
            </w:r>
          </w:hyperlink>
        </w:p>
        <w:p>
          <w:pPr>
            <w:pStyle w:val="TOC1"/>
            <w:tabs>
              <w:tab w:val="right" w:pos="9026" w:leader="dot"/>
            </w:tabs>
          </w:pPr>
          <w:hyperlink w:history="1" w:anchor="_Toc59">
            <w:r>
              <w:t xml:space="preserve">8.  Finances &amp; commissions</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9.  Messagerie</w:t>
            </w:r>
            <w:r>
              <w:tab/>
            </w:r>
            <w:r>
              <w:fldChar w:fldCharType="begin" w:dirty="true"/>
              <w:instrText xml:space="preserve">PAGEREF _Toc60 \h</w:instrText>
              <w:fldChar w:fldCharType="separate"/>
              <w:fldChar w:fldCharType="end"/>
            </w:r>
          </w:hyperlink>
        </w:p>
        <w:p>
          <w:pPr>
            <w:pStyle w:val="TOC1"/>
            <w:tabs>
              <w:tab w:val="right" w:pos="9026" w:leader="dot"/>
            </w:tabs>
          </w:pPr>
          <w:hyperlink w:history="1" w:anchor="_Toc61">
            <w:r>
              <w:t xml:space="preserve">10.  Votre compte</w:t>
            </w:r>
            <w:r>
              <w:tab/>
            </w:r>
            <w:r>
              <w:fldChar w:fldCharType="begin" w:dirty="true"/>
              <w:instrText xml:space="preserve">PAGEREF _Toc61 \h</w:instrText>
              <w:fldChar w:fldCharType="separate"/>
              <w:fldChar w:fldCharType="end"/>
            </w:r>
          </w:hyperlink>
        </w:p>
        <w:p>
          <w:pPr>
            <w:pStyle w:val="TOC1"/>
            <w:tabs>
              <w:tab w:val="right" w:pos="9026" w:leader="dot"/>
            </w:tabs>
          </w:pPr>
          <w:hyperlink w:history="1" w:anchor="_Toc62">
            <w:r>
              <w:t xml:space="preserve">11.  Formation : formules, paiements et accès</w:t>
            </w:r>
            <w:r>
              <w:tab/>
            </w:r>
            <w:r>
              <w:fldChar w:fldCharType="begin" w:dirty="true"/>
              <w:instrText xml:space="preserve">PAGEREF _Toc62 \h</w:instrText>
              <w:fldChar w:fldCharType="separate"/>
              <w:fldChar w:fldCharType="end"/>
            </w:r>
          </w:hyperlink>
        </w:p>
        <w:p>
          <w:pPr>
            <w:pStyle w:val="TOC1"/>
            <w:tabs>
              <w:tab w:val="right" w:pos="9026" w:leader="dot"/>
            </w:tabs>
          </w:pPr>
          <w:hyperlink w:history="1" w:anchor="_Toc63">
            <w:r>
              <w:t xml:space="preserve">12.  Codes promo &amp; liens promo</w:t>
            </w:r>
            <w:r>
              <w:tab/>
            </w:r>
            <w:r>
              <w:fldChar w:fldCharType="begin" w:dirty="true"/>
              <w:instrText xml:space="preserve">PAGEREF _Toc63 \h</w:instrText>
              <w:fldChar w:fldCharType="separate"/>
              <w:fldChar w:fldCharType="end"/>
            </w:r>
          </w:hyperlink>
        </w:p>
        <w:p>
          <w:pPr>
            <w:pStyle w:val="TOC1"/>
            <w:tabs>
              <w:tab w:val="right" w:pos="9026" w:leader="dot"/>
            </w:tabs>
          </w:pPr>
          <w:hyperlink w:history="1" w:anchor="_Toc64">
            <w:r>
              <w:t xml:space="preserve">13.  Finance &amp; parrainage : rétrocessions, versements, antifraude</w:t>
            </w:r>
            <w:r>
              <w:tab/>
            </w:r>
            <w:r>
              <w:fldChar w:fldCharType="begin" w:dirty="true"/>
              <w:instrText xml:space="preserve">PAGEREF _Toc64 \h</w:instrText>
              <w:fldChar w:fldCharType="separate"/>
              <w:fldChar w:fldCharType="end"/>
            </w:r>
          </w:hyperlink>
        </w:p>
        <w:p>
          <w:pPr>
            <w:pStyle w:val="TOC1"/>
            <w:tabs>
              <w:tab w:val="right" w:pos="9026" w:leader="dot"/>
            </w:tabs>
          </w:pPr>
          <w:hyperlink w:history="1" w:anchor="_Toc65">
            <w:r>
              <w:t xml:space="preserve">14.  Éditions : librairie en ligne, commandes et loterie</w:t>
            </w:r>
            <w:r>
              <w:tab/>
            </w:r>
            <w:r>
              <w:fldChar w:fldCharType="begin" w:dirty="true"/>
              <w:instrText xml:space="preserve">PAGEREF _Toc65 \h</w:instrText>
              <w:fldChar w:fldCharType="separate"/>
              <w:fldChar w:fldCharType="end"/>
            </w:r>
          </w:hyperlink>
        </w:p>
        <w:p>
          <w:pPr>
            <w:pStyle w:val="TOC1"/>
            <w:tabs>
              <w:tab w:val="right" w:pos="9026" w:leader="dot"/>
            </w:tabs>
          </w:pPr>
          <w:hyperlink w:history="1" w:anchor="_Toc66">
            <w:r>
              <w:t xml:space="preserve">15.  Banque de ressources didactiques &amp; dons</w:t>
            </w:r>
            <w:r>
              <w:tab/>
            </w:r>
            <w:r>
              <w:fldChar w:fldCharType="begin" w:dirty="true"/>
              <w:instrText xml:space="preserve">PAGEREF _Toc66 \h</w:instrText>
              <w:fldChar w:fldCharType="separate"/>
              <w:fldChar w:fldCharType="end"/>
            </w:r>
          </w:hyperlink>
        </w:p>
        <w:p>
          <w:pPr>
            <w:pStyle w:val="TOC1"/>
            <w:tabs>
              <w:tab w:val="right" w:pos="9026" w:leader="dot"/>
            </w:tabs>
          </w:pPr>
          <w:hyperlink w:history="1" w:anchor="_Toc67">
            <w:r>
              <w:t xml:space="preserve">16.  Compétitions (épreuves chronométrées)</w:t>
            </w:r>
            <w:r>
              <w:tab/>
            </w:r>
            <w:r>
              <w:fldChar w:fldCharType="begin" w:dirty="true"/>
              <w:instrText xml:space="preserve">PAGEREF _Toc67 \h</w:instrText>
              <w:fldChar w:fldCharType="separate"/>
              <w:fldChar w:fldCharType="end"/>
            </w:r>
          </w:hyperlink>
        </w:p>
        <w:p>
          <w:r>
            <w:fldChar w:fldCharType="end"/>
          </w:r>
        </w:p>
      </w:sdtContent>
    </w:sdt>
    <w:p>
      <w:r>
        <w:br w:type="page"/>
      </w:r>
    </w:p>
    <w:p>
      <w:pPr>
        <w:spacing w:after="80"/>
      </w:pPr>
      <w:r>
        <w:rPr>
          <w:b/>
          <w:bCs/>
          <w:color w:val="1E9E57"/>
          <w:spacing w:val="20"/>
          <w:sz w:val="18"/>
          <w:szCs w:val="18"/>
        </w:rPr>
        <w:t xml:space="preserve">À PROPOS DE CE GUIDE</w:t>
      </w:r>
    </w:p>
    <w:p>
      <w:pPr>
        <w:pBdr>
          <w:left w:val="single" w:color="1E9E57" w:sz="18" w:space="14"/>
        </w:pBdr>
        <w:spacing w:after="260"/>
      </w:pPr>
      <w:r>
        <w:rPr>
          <w:sz w:val="22"/>
          <w:szCs w:val="22"/>
        </w:rPr>
        <w:t xml:space="preserve">L'administrateur pilote la plateforme selon les permissions accordées par le super-administrateur : Gestion des utilisateurs, Validation des coachs, Finances &amp; statistiques et/ou Formation &amp; tests psychotechniques. Ce guide décrit les tâches courantes : gestion des coachs et des utilisateurs, vérification des paiements de la Formation, codes promo, rétrocessions de parrainage et pilotage financier.</w:t>
      </w:r>
    </w:p>
    <w:p>
      <w:pPr>
        <w:pStyle w:val="Heading1"/>
      </w:pPr>
      <w:bookmarkStart w:name="_Toc52" w:id="52"/>
      <w:r>
        <w:t xml:space="preserve">1.  Bien démarrer — à lire en premier</w:t>
      </w:r>
      <w:bookmarkEnd w:id="52"/>
    </w:p>
    <w:p>
      <w:pPr>
        <w:spacing w:after="120"/>
      </w:pPr>
      <w:r>
        <w:rPr>
          <w:sz w:val="22"/>
          <w:szCs w:val="22"/>
        </w:rPr>
        <w:t xml:space="preserve">Ce guide est fait pour tout le monde, même si vous n'avez pas l'habitude des téléphones ou des ordinateurs. Avancez à votre rythme : vous ne pouvez rien « casser », et il est toujours possible de revenir en arrière.</w:t>
      </w:r>
    </w:p>
    <w:p>
      <w:pPr>
        <w:pBdr>
          <w:top w:val="single" w:color="EAF3FB" w:sz="2" w:space="6"/>
          <w:left w:val="single" w:color="2A77C6" w:sz="18" w:space="10"/>
          <w:bottom w:val="single" w:color="EAF3FB" w:sz="2" w:space="6"/>
          <w:right w:val="single" w:color="EAF3FB" w:sz="2" w:space="6"/>
        </w:pBdr>
        <w:shd w:fill="EAF3FB" w:color="auto" w:val="clear"/>
        <w:spacing w:after="140" w:before="80"/>
      </w:pPr>
      <w:r>
        <w:rPr>
          <w:b/>
          <w:bCs/>
          <w:color w:val="2A77C6"/>
          <w:sz w:val="21"/>
          <w:szCs w:val="21"/>
        </w:rPr>
        <w:t xml:space="preserve">Astuce — </w:t>
      </w:r>
      <w:r>
        <w:rPr>
          <w:color w:val="1B3A57"/>
          <w:sz w:val="21"/>
          <w:szCs w:val="21"/>
        </w:rPr>
        <w:t xml:space="preserve">Pour utiliser EduWeb, il vous faut seulement deux choses : un appareil connecté à Internet (téléphone Android, iPhone ou ordinateur) et une adresse e-mail. Si vous n'en avez pas, faites-vous aider pour créer une adresse gratuite (par exemple une adresse Gmail).</w:t>
      </w:r>
    </w:p>
    <w:p>
      <w:pPr>
        <w:pStyle w:val="Heading2"/>
      </w:pPr>
      <w:r>
        <w:t xml:space="preserve">Quelques mots à connaître</w:t>
      </w:r>
    </w:p>
    <w:p>
      <w:pPr>
        <w:pStyle w:val="ListParagraph"/>
        <w:numPr>
          <w:ilvl w:val="0"/>
          <w:numId w:val="2"/>
        </w:numPr>
        <w:spacing w:after="40"/>
      </w:pPr>
      <w:r>
        <w:rPr>
          <w:sz w:val="22"/>
          <w:szCs w:val="22"/>
        </w:rPr>
        <w:t xml:space="preserve">Navigateur : le programme qui sert à ouvrir les sites Internet. Sur Android, c'est souvent « Chrome » ; sur iPhone, « Safari ».</w:t>
      </w:r>
    </w:p>
    <w:p>
      <w:pPr>
        <w:pStyle w:val="ListParagraph"/>
        <w:numPr>
          <w:ilvl w:val="0"/>
          <w:numId w:val="2"/>
        </w:numPr>
        <w:spacing w:after="40"/>
      </w:pPr>
      <w:r>
        <w:rPr>
          <w:sz w:val="22"/>
          <w:szCs w:val="22"/>
        </w:rPr>
        <w:t xml:space="preserve">Adresse du site : ce que l'on écrit tout en haut de l'écran pour ouvrir EduWeb. La nôtre est : family.eduweb.ci</w:t>
      </w:r>
    </w:p>
    <w:p>
      <w:pPr>
        <w:pStyle w:val="ListParagraph"/>
        <w:numPr>
          <w:ilvl w:val="0"/>
          <w:numId w:val="2"/>
        </w:numPr>
        <w:spacing w:after="40"/>
      </w:pPr>
      <w:r>
        <w:rPr>
          <w:sz w:val="22"/>
          <w:szCs w:val="22"/>
        </w:rPr>
        <w:t xml:space="preserve">Compte : votre espace personnel, protégé par votre e-mail et un mot de passe.</w:t>
      </w:r>
    </w:p>
    <w:p>
      <w:pPr>
        <w:pStyle w:val="ListParagraph"/>
        <w:numPr>
          <w:ilvl w:val="0"/>
          <w:numId w:val="2"/>
        </w:numPr>
        <w:spacing w:after="40"/>
      </w:pPr>
      <w:r>
        <w:rPr>
          <w:sz w:val="22"/>
          <w:szCs w:val="22"/>
        </w:rPr>
        <w:t xml:space="preserve">E-mail (ou courriel) : votre adresse électronique, du type nom@exemple.com. Elle sert à créer votre compte et à recevoir les messages importants.</w:t>
      </w:r>
    </w:p>
    <w:p>
      <w:pPr>
        <w:pStyle w:val="ListParagraph"/>
        <w:numPr>
          <w:ilvl w:val="0"/>
          <w:numId w:val="2"/>
        </w:numPr>
        <w:spacing w:after="40"/>
      </w:pPr>
      <w:r>
        <w:rPr>
          <w:sz w:val="22"/>
          <w:szCs w:val="22"/>
        </w:rPr>
        <w:t xml:space="preserve">Mot de passe : un code secret que vous choisissez (au moins 6 caractères). Ne le communiquez à personne.</w:t>
      </w:r>
    </w:p>
    <w:p>
      <w:pPr>
        <w:pStyle w:val="ListParagraph"/>
        <w:numPr>
          <w:ilvl w:val="0"/>
          <w:numId w:val="2"/>
        </w:numPr>
        <w:spacing w:after="40"/>
      </w:pPr>
      <w:r>
        <w:rPr>
          <w:sz w:val="22"/>
          <w:szCs w:val="22"/>
        </w:rPr>
        <w:t xml:space="preserve">Bouton : une zone colorée sur laquelle on appuie pour agir (par exemple « Créer un compte »).</w:t>
      </w:r>
    </w:p>
    <w:p>
      <w:pPr>
        <w:pStyle w:val="ListParagraph"/>
        <w:numPr>
          <w:ilvl w:val="0"/>
          <w:numId w:val="2"/>
        </w:numPr>
        <w:spacing w:after="40"/>
      </w:pPr>
      <w:r>
        <w:rPr>
          <w:sz w:val="22"/>
          <w:szCs w:val="22"/>
        </w:rPr>
        <w:t xml:space="preserve">Lien : un mot souligné ou coloré sur lequel on appuie pour aller à une autre page.</w:t>
      </w:r>
    </w:p>
    <w:p>
      <w:pPr>
        <w:pStyle w:val="ListParagraph"/>
        <w:numPr>
          <w:ilvl w:val="0"/>
          <w:numId w:val="2"/>
        </w:numPr>
        <w:spacing w:after="40"/>
      </w:pPr>
      <w:r>
        <w:rPr>
          <w:sz w:val="22"/>
          <w:szCs w:val="22"/>
        </w:rPr>
        <w:t xml:space="preserve">Formulaire : une suite de cases à remplir (nom, e-mail, etc.).</w:t>
      </w:r>
    </w:p>
    <w:p>
      <w:pPr>
        <w:pStyle w:val="Heading2"/>
      </w:pPr>
      <w:r>
        <w:t xml:space="preserve">Les gestes de base</w:t>
      </w:r>
    </w:p>
    <w:p>
      <w:pPr>
        <w:pStyle w:val="ListParagraph"/>
        <w:numPr>
          <w:ilvl w:val="0"/>
          <w:numId w:val="2"/>
        </w:numPr>
        <w:spacing w:after="40"/>
      </w:pPr>
      <w:r>
        <w:rPr>
          <w:sz w:val="22"/>
          <w:szCs w:val="22"/>
        </w:rPr>
        <w:t xml:space="preserve">Toucher ou cliquer : appuyer une fois sur un bouton ou un lien — avec le doigt sur un téléphone, avec la souris sur un ordinateur.</w:t>
      </w:r>
    </w:p>
    <w:p>
      <w:pPr>
        <w:pStyle w:val="ListParagraph"/>
        <w:numPr>
          <w:ilvl w:val="0"/>
          <w:numId w:val="2"/>
        </w:numPr>
        <w:spacing w:after="40"/>
      </w:pPr>
      <w:r>
        <w:rPr>
          <w:sz w:val="22"/>
          <w:szCs w:val="22"/>
        </w:rPr>
        <w:t xml:space="preserve">Faire défiler : glisser le doigt vers le haut ou vers le bas pour voir la suite de la page.</w:t>
      </w:r>
    </w:p>
    <w:p>
      <w:pPr>
        <w:pStyle w:val="ListParagraph"/>
        <w:numPr>
          <w:ilvl w:val="0"/>
          <w:numId w:val="2"/>
        </w:numPr>
        <w:spacing w:after="40"/>
      </w:pPr>
      <w:r>
        <w:rPr>
          <w:sz w:val="22"/>
          <w:szCs w:val="22"/>
        </w:rPr>
        <w:t xml:space="preserve">Écrire : touchez une case ; un clavier apparaît (sur téléphone) pour taper votre texte.</w:t>
      </w:r>
    </w:p>
    <w:p>
      <w:pPr>
        <w:pStyle w:val="ListParagraph"/>
        <w:numPr>
          <w:ilvl w:val="0"/>
          <w:numId w:val="2"/>
        </w:numPr>
        <w:spacing w:after="40"/>
      </w:pPr>
      <w:r>
        <w:rPr>
          <w:sz w:val="22"/>
          <w:szCs w:val="22"/>
        </w:rPr>
        <w:t xml:space="preserve">Revenir en arrière : la flèche « ← », en haut de l'écran, ramène à la page précédente.</w:t>
      </w:r>
    </w:p>
    <w:p>
      <w:pPr>
        <w:pStyle w:val="Heading2"/>
      </w:pPr>
      <w:r>
        <w:t xml:space="preserve">Ouvrir EduWeb (la première fois)</w:t>
      </w:r>
    </w:p>
    <w:p>
      <w:pPr>
        <w:pStyle w:val="ListParagraph"/>
        <w:numPr>
          <w:ilvl w:val="0"/>
          <w:numId w:val="3"/>
        </w:numPr>
        <w:spacing w:after="40"/>
      </w:pPr>
      <w:r>
        <w:rPr>
          <w:sz w:val="22"/>
          <w:szCs w:val="22"/>
        </w:rPr>
        <w:t xml:space="preserve">Ouvrez votre navigateur : l'icône « Chrome » (Android) ou « Safari » (iPhone).</w:t>
      </w:r>
    </w:p>
    <w:p>
      <w:pPr>
        <w:pStyle w:val="ListParagraph"/>
        <w:numPr>
          <w:ilvl w:val="0"/>
          <w:numId w:val="3"/>
        </w:numPr>
        <w:spacing w:after="40"/>
      </w:pPr>
      <w:r>
        <w:rPr>
          <w:sz w:val="22"/>
          <w:szCs w:val="22"/>
        </w:rPr>
        <w:t xml:space="preserve">Tout en haut de l'écran, écrivez l'adresse : family.eduweb.ci</w:t>
      </w:r>
    </w:p>
    <w:p>
      <w:pPr>
        <w:pStyle w:val="ListParagraph"/>
        <w:numPr>
          <w:ilvl w:val="0"/>
          <w:numId w:val="3"/>
        </w:numPr>
        <w:spacing w:after="40"/>
      </w:pPr>
      <w:r>
        <w:rPr>
          <w:sz w:val="22"/>
          <w:szCs w:val="22"/>
        </w:rPr>
        <w:t xml:space="preserve">Validez avec la touche « Entrée » ou « Aller » du clavier.</w:t>
      </w:r>
    </w:p>
    <w:p>
      <w:pPr>
        <w:pStyle w:val="ListParagraph"/>
        <w:numPr>
          <w:ilvl w:val="0"/>
          <w:numId w:val="3"/>
        </w:numPr>
        <w:spacing w:after="40"/>
      </w:pPr>
      <w:r>
        <w:rPr>
          <w:sz w:val="22"/>
          <w:szCs w:val="22"/>
        </w:rPr>
        <w:t xml:space="preserve">La page d'accueil d'EduWeb s'affiche : vous êtes au bon endroit.</w:t>
      </w:r>
    </w:p>
    <w:p>
      <w:pPr>
        <w:pBdr>
          <w:top w:val="single" w:color="FDF3E6" w:sz="2" w:space="6"/>
          <w:left w:val="single" w:color="C9871C" w:sz="18" w:space="10"/>
          <w:bottom w:val="single" w:color="FDF3E6" w:sz="2" w:space="6"/>
          <w:right w:val="single" w:color="FDF3E6" w:sz="2" w:space="6"/>
        </w:pBdr>
        <w:shd w:fill="FDF3E6" w:color="auto" w:val="clear"/>
        <w:spacing w:after="140" w:before="80"/>
      </w:pPr>
      <w:r>
        <w:rPr>
          <w:b/>
          <w:bCs/>
          <w:color w:val="C9871C"/>
          <w:sz w:val="21"/>
          <w:szCs w:val="21"/>
        </w:rPr>
        <w:t xml:space="preserve">Attention — </w:t>
      </w:r>
      <w:r>
        <w:rPr>
          <w:color w:val="5A3D12"/>
          <w:sz w:val="21"/>
          <w:szCs w:val="21"/>
        </w:rPr>
        <w:t xml:space="preserve">Vérifiez bien l'adresse — family.eduweb.ci — sans espace. N'ouvrez jamais un lien reçu d'un inconnu qui imiterait le site, et ne donnez votre mot de passe à personne.</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Vous êtes perdu à un moment ? Deux réflexes simples : appuyez sur la flèche « ← » pour revenir en arrière, ou utilisez le bouton « Aide » (en bas à droite de l'écran), qui rouvre ce guide.</w:t>
      </w:r>
    </w:p>
    <w:p>
      <w:pPr>
        <w:pStyle w:val="Heading1"/>
      </w:pPr>
      <w:bookmarkStart w:name="_Toc53" w:id="53"/>
      <w:r>
        <w:t xml:space="preserve">2.  Connexion et tableau de bord</w:t>
      </w:r>
      <w:bookmarkEnd w:id="53"/>
    </w:p>
    <w:p>
      <w:pPr>
        <w:spacing w:after="120"/>
      </w:pPr>
      <w:r>
        <w:rPr>
          <w:sz w:val="22"/>
          <w:szCs w:val="22"/>
        </w:rPr>
        <w:t xml:space="preserve">Une fois connecté, votre tableau de bord donne une vue d'ensemble de la plateforme.</w:t>
      </w:r>
    </w:p>
    <w:p>
      <w:pPr>
        <w:pStyle w:val="ListParagraph"/>
        <w:numPr>
          <w:ilvl w:val="0"/>
          <w:numId w:val="2"/>
        </w:numPr>
        <w:spacing w:after="40"/>
      </w:pPr>
      <w:r>
        <w:rPr>
          <w:sz w:val="22"/>
          <w:szCs w:val="22"/>
        </w:rPr>
        <w:t xml:space="preserve">Il présente des statistiques en temps réel et des cartes cliquables.</w:t>
      </w:r>
    </w:p>
    <w:p>
      <w:pPr>
        <w:pStyle w:val="ListParagraph"/>
        <w:numPr>
          <w:ilvl w:val="0"/>
          <w:numId w:val="2"/>
        </w:numPr>
        <w:spacing w:after="40"/>
      </w:pPr>
      <w:r>
        <w:rPr>
          <w:sz w:val="22"/>
          <w:szCs w:val="22"/>
        </w:rPr>
        <w:t xml:space="preserve">Quatre permissions existent : Gestion des utilisateurs, Validation des coachs, Finances &amp; statistiques, et Formation &amp; tests psychotechniques. Vous ne voyez que les espaces correspondant aux permissions qui vous ont été accordées.</w:t>
      </w:r>
    </w:p>
    <w:p>
      <w:pPr>
        <w:pStyle w:val="Heading1"/>
      </w:pPr>
      <w:bookmarkStart w:name="_Toc54" w:id="54"/>
      <w:r>
        <w:t xml:space="preserve">3.  Langue de lecture</w:t>
      </w:r>
      <w:bookmarkEnd w:id="54"/>
    </w:p>
    <w:p>
      <w:pPr>
        <w:spacing w:after="120"/>
      </w:pPr>
      <w:r>
        <w:rPr>
          <w:sz w:val="22"/>
          <w:szCs w:val="22"/>
        </w:rPr>
        <w:t xml:space="preserve">L'application est disponible en 14 langues. Sur votre tableau de bord, la carte « Langue de lecture » permet de choisir la langue d'affichage ; votre choix est mémorisé pour vos prochaines visites.</w:t>
      </w:r>
    </w:p>
    <w:p>
      <w:pPr>
        <w:pStyle w:val="ListParagraph"/>
        <w:numPr>
          <w:ilvl w:val="0"/>
          <w:numId w:val="2"/>
        </w:numPr>
        <w:spacing w:after="40"/>
      </w:pPr>
      <w:r>
        <w:rPr>
          <w:sz w:val="22"/>
          <w:szCs w:val="22"/>
        </w:rPr>
        <w:t xml:space="preserve">Français, Anglais, Arabe, Espagnol, Coréen, Mandarin (chinois), Russe, Ukrainien, Allemand, Portugais, Italien, Turc, Wolof, Swahili.</w:t>
      </w:r>
    </w:p>
    <w:p>
      <w:pPr>
        <w:pStyle w:val="Heading1"/>
      </w:pPr>
      <w:bookmarkStart w:name="_Toc55" w:id="55"/>
      <w:r>
        <w:t xml:space="preserve">4.  Besoin d'aide ?</w:t>
      </w:r>
      <w:bookmarkEnd w:id="55"/>
    </w:p>
    <w:p>
      <w:pPr>
        <w:spacing w:after="120"/>
      </w:pPr>
      <w:r>
        <w:rPr>
          <w:sz w:val="22"/>
          <w:szCs w:val="22"/>
        </w:rPr>
        <w:t xml:space="preserve">Une carte « Besoin d'aide ? » figure sur votre tableau de bord, et un bouton flottant « Aide » (en bas à droite de l'écran) vous permet d'ouvrir ce guide à tout moment.</w:t>
      </w:r>
    </w:p>
    <w:p>
      <w:pPr>
        <w:pStyle w:val="Heading1"/>
      </w:pPr>
      <w:bookmarkStart w:name="_Toc56" w:id="56"/>
      <w:r>
        <w:t xml:space="preserve">5.  Installer l'application sur votre appareil</w:t>
      </w:r>
      <w:bookmarkEnd w:id="56"/>
    </w:p>
    <w:p>
      <w:pPr>
        <w:spacing w:after="120"/>
      </w:pPr>
      <w:r>
        <w:rPr>
          <w:sz w:val="22"/>
          <w:szCs w:val="22"/>
        </w:rPr>
        <w:t xml:space="preserve">EduWeb est une application web installable : vous pouvez l'ajouter à l'écran d'accueil de votre téléphone ou au bureau de votre ordinateur, puis l'ouvrir comme une application classique — en plein écran, sans la barre du navigateur, avec l'icône EduWeb. L'installation est gratuite, rapide et ne passe par aucun magasin d'applications.</w:t>
      </w:r>
    </w:p>
    <w:p>
      <w:pPr>
        <w:pBdr>
          <w:top w:val="single" w:color="EAF3FB" w:sz="2" w:space="6"/>
          <w:left w:val="single" w:color="2A77C6" w:sz="18" w:space="10"/>
          <w:bottom w:val="single" w:color="EAF3FB" w:sz="2" w:space="6"/>
          <w:right w:val="single" w:color="EAF3FB" w:sz="2" w:space="6"/>
        </w:pBdr>
        <w:shd w:fill="EAF3FB" w:color="auto" w:val="clear"/>
        <w:spacing w:after="140" w:before="80"/>
      </w:pPr>
      <w:r>
        <w:rPr>
          <w:b/>
          <w:bCs/>
          <w:color w:val="2A77C6"/>
          <w:sz w:val="21"/>
          <w:szCs w:val="21"/>
        </w:rPr>
        <w:t xml:space="preserve">Astuce — </w:t>
      </w:r>
      <w:r>
        <w:rPr>
          <w:color w:val="1B3A57"/>
          <w:sz w:val="21"/>
          <w:szCs w:val="21"/>
        </w:rPr>
        <w:t xml:space="preserve">Cette étape n'est pas obligatoire : vous pouvez très bien utiliser EduWeb dans votre navigateur. L'installer sert seulement à l'ouvrir plus vite la prochaine fois, en appuyant sur une icône, comme une application ordinaire.</w:t>
      </w:r>
    </w:p>
    <w:p>
      <w:pPr>
        <w:pStyle w:val="Heading2"/>
      </w:pPr>
      <w:r>
        <w:t xml:space="preserve">Android (Chrome)</w:t>
      </w:r>
    </w:p>
    <w:p>
      <w:pPr>
        <w:pStyle w:val="ListParagraph"/>
        <w:numPr>
          <w:ilvl w:val="0"/>
          <w:numId w:val="4"/>
        </w:numPr>
        <w:spacing w:after="40"/>
      </w:pPr>
      <w:r>
        <w:rPr>
          <w:sz w:val="22"/>
          <w:szCs w:val="22"/>
        </w:rPr>
        <w:t xml:space="preserve">Ouvrez family.eduweb.ci dans Chrome.</w:t>
      </w:r>
    </w:p>
    <w:p>
      <w:pPr>
        <w:pStyle w:val="ListParagraph"/>
        <w:numPr>
          <w:ilvl w:val="0"/>
          <w:numId w:val="4"/>
        </w:numPr>
        <w:spacing w:after="40"/>
      </w:pPr>
      <w:r>
        <w:rPr>
          <w:sz w:val="22"/>
          <w:szCs w:val="22"/>
        </w:rPr>
        <w:t xml:space="preserve">Touchez la bannière « Installer l'application » si elle apparaît ; sinon, ouvrez le menu (les trois petits points alignés, en haut à droite).</w:t>
      </w:r>
    </w:p>
    <w:p>
      <w:pPr>
        <w:pStyle w:val="ListParagraph"/>
        <w:numPr>
          <w:ilvl w:val="0"/>
          <w:numId w:val="4"/>
        </w:numPr>
        <w:spacing w:after="40"/>
      </w:pPr>
      <w:r>
        <w:rPr>
          <w:sz w:val="22"/>
          <w:szCs w:val="22"/>
        </w:rPr>
        <w:t xml:space="preserve">Choisissez « Installer l'application » (ou « Ajouter à l'écran d'accueil »), puis confirmez.</w:t>
      </w:r>
    </w:p>
    <w:p>
      <w:pPr>
        <w:pStyle w:val="Heading2"/>
      </w:pPr>
      <w:r>
        <w:t xml:space="preserve">iPhone / iPad (Safari)</w:t>
      </w:r>
    </w:p>
    <w:p>
      <w:pPr>
        <w:pStyle w:val="ListParagraph"/>
        <w:numPr>
          <w:ilvl w:val="0"/>
          <w:numId w:val="5"/>
        </w:numPr>
        <w:spacing w:after="40"/>
      </w:pPr>
      <w:r>
        <w:rPr>
          <w:sz w:val="22"/>
          <w:szCs w:val="22"/>
        </w:rPr>
        <w:t xml:space="preserve">Ouvrez family.eduweb.ci dans Safari.</w:t>
      </w:r>
    </w:p>
    <w:p>
      <w:pPr>
        <w:pStyle w:val="ListParagraph"/>
        <w:numPr>
          <w:ilvl w:val="0"/>
          <w:numId w:val="5"/>
        </w:numPr>
        <w:spacing w:after="40"/>
      </w:pPr>
      <w:r>
        <w:rPr>
          <w:sz w:val="22"/>
          <w:szCs w:val="22"/>
        </w:rPr>
        <w:t xml:space="preserve">Touchez le bouton Partager (le carré surmonté d'une flèche vers le haut).</w:t>
      </w:r>
    </w:p>
    <w:p>
      <w:pPr>
        <w:pStyle w:val="ListParagraph"/>
        <w:numPr>
          <w:ilvl w:val="0"/>
          <w:numId w:val="5"/>
        </w:numPr>
        <w:spacing w:after="40"/>
      </w:pPr>
      <w:r>
        <w:rPr>
          <w:sz w:val="22"/>
          <w:szCs w:val="22"/>
        </w:rPr>
        <w:t xml:space="preserve">Faites défiler, choisissez « Sur l'écran d'accueil », puis « Ajouter ».</w:t>
      </w:r>
    </w:p>
    <w:p>
      <w:pPr>
        <w:pStyle w:val="Heading2"/>
      </w:pPr>
      <w:r>
        <w:t xml:space="preserve">Ordinateur (Chrome ou Edge)</w:t>
      </w:r>
    </w:p>
    <w:p>
      <w:pPr>
        <w:pStyle w:val="ListParagraph"/>
        <w:numPr>
          <w:ilvl w:val="0"/>
          <w:numId w:val="6"/>
        </w:numPr>
        <w:spacing w:after="40"/>
      </w:pPr>
      <w:r>
        <w:rPr>
          <w:sz w:val="22"/>
          <w:szCs w:val="22"/>
        </w:rPr>
        <w:t xml:space="preserve">Ouvrez family.eduweb.ci.</w:t>
      </w:r>
    </w:p>
    <w:p>
      <w:pPr>
        <w:pStyle w:val="ListParagraph"/>
        <w:numPr>
          <w:ilvl w:val="0"/>
          <w:numId w:val="6"/>
        </w:numPr>
        <w:spacing w:after="40"/>
      </w:pPr>
      <w:r>
        <w:rPr>
          <w:sz w:val="22"/>
          <w:szCs w:val="22"/>
        </w:rPr>
        <w:t xml:space="preserve">Cliquez sur la petite icône d'installation (un écran avec une flèche vers le bas), à droite de la barre d'adresse (la barre, en haut, où l'on écrit l'adresse du site).</w:t>
      </w:r>
    </w:p>
    <w:p>
      <w:pPr>
        <w:pStyle w:val="ListParagraph"/>
        <w:numPr>
          <w:ilvl w:val="0"/>
          <w:numId w:val="6"/>
        </w:numPr>
        <w:spacing w:after="40"/>
      </w:pPr>
      <w:r>
        <w:rPr>
          <w:sz w:val="22"/>
          <w:szCs w:val="22"/>
        </w:rPr>
        <w:t xml:space="preserve">Cliquez sur « Installer ».</w:t>
      </w:r>
    </w:p>
    <w:p>
      <w:pPr>
        <w:spacing w:after="120"/>
      </w:pPr>
      <w:r>
        <w:rPr>
          <w:sz w:val="22"/>
          <w:szCs w:val="22"/>
        </w:rPr>
        <w:t xml:space="preserve">Une fois installée, l'icône EduWeb apparaît sur votre écran d'accueil (ou votre bureau) et l'application se met à jour automatiquement à chaque connexion à Internet.</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En cas de coupure d'Internet, l'application affiche une page d'attente claire et se recharge automatiquement dès le retour de la connexion. La consultation des pages nécessite une connexion active.</w:t>
      </w:r>
    </w:p>
    <w:p>
      <w:pPr>
        <w:pStyle w:val="Heading1"/>
      </w:pPr>
      <w:bookmarkStart w:name="_Toc57" w:id="57"/>
      <w:r>
        <w:t xml:space="preserve">6.  Gestion des utilisateurs</w:t>
      </w:r>
      <w:bookmarkEnd w:id="57"/>
    </w:p>
    <w:p>
      <w:pPr>
        <w:spacing w:after="120"/>
      </w:pPr>
      <w:r>
        <w:rPr>
          <w:sz w:val="22"/>
          <w:szCs w:val="22"/>
        </w:rPr>
        <w:t xml:space="preserve">Permission requise : « Gestion des utilisateurs ».</w:t>
      </w:r>
    </w:p>
    <w:p>
      <w:pPr>
        <w:pStyle w:val="ListParagraph"/>
        <w:numPr>
          <w:ilvl w:val="0"/>
          <w:numId w:val="2"/>
        </w:numPr>
        <w:spacing w:after="40"/>
      </w:pPr>
      <w:r>
        <w:rPr>
          <w:sz w:val="22"/>
          <w:szCs w:val="22"/>
        </w:rPr>
        <w:t xml:space="preserve">La liste se filtre par rôle (parents, coachs, admins) et se recherche par nom ou e-mail.</w:t>
      </w:r>
    </w:p>
    <w:p>
      <w:pPr>
        <w:pStyle w:val="ListParagraph"/>
        <w:numPr>
          <w:ilvl w:val="0"/>
          <w:numId w:val="2"/>
        </w:numPr>
        <w:spacing w:after="40"/>
      </w:pPr>
      <w:r>
        <w:rPr>
          <w:sz w:val="22"/>
          <w:szCs w:val="22"/>
        </w:rPr>
        <w:t xml:space="preserve">Pour chaque personne, vous pouvez : créer un compte (activé aussitôt), changer son rôle, la suspendre ou la réactiver, ou la supprimer (avec ses données liées).</w:t>
      </w:r>
    </w:p>
    <w:p>
      <w:pPr>
        <w:pStyle w:val="Heading2"/>
      </w:pPr>
      <w:r>
        <w:t xml:space="preserve">Actions par lot (plusieurs à la fois)</w:t>
      </w:r>
    </w:p>
    <w:p>
      <w:pPr>
        <w:spacing w:after="120"/>
      </w:pPr>
      <w:r>
        <w:rPr>
          <w:sz w:val="22"/>
          <w:szCs w:val="22"/>
        </w:rPr>
        <w:t xml:space="preserve">Cochez plusieurs comptes (ou « tout sélectionner »), puis choisissez l'action groupée : Réactiver, Suspendre ou Supprimer. Vous ne pouvez pas agir sur votre propre compte.</w:t>
      </w:r>
    </w:p>
    <w:p>
      <w:pPr>
        <w:pBdr>
          <w:top w:val="single" w:color="EAF3FB" w:sz="2" w:space="6"/>
          <w:left w:val="single" w:color="2A77C6" w:sz="18" w:space="10"/>
          <w:bottom w:val="single" w:color="EAF3FB" w:sz="2" w:space="6"/>
          <w:right w:val="single" w:color="EAF3FB" w:sz="2" w:space="6"/>
        </w:pBdr>
        <w:shd w:fill="EAF3FB" w:color="auto" w:val="clear"/>
        <w:spacing w:after="140" w:before="80"/>
      </w:pPr>
      <w:r>
        <w:rPr>
          <w:b/>
          <w:bCs/>
          <w:color w:val="2A77C6"/>
          <w:sz w:val="21"/>
          <w:szCs w:val="21"/>
        </w:rPr>
        <w:t xml:space="preserve">Astuce — </w:t>
      </w:r>
      <w:r>
        <w:rPr>
          <w:color w:val="1B3A57"/>
          <w:sz w:val="21"/>
          <w:szCs w:val="21"/>
        </w:rPr>
        <w:t xml:space="preserve">Pour préparer un compte « tout prêt » à remettre à quelqu'un, utilisez « Créer un utilisateur » : vous pouvez générer un mot de passe et afficher les identifiants à copier (ou les envoyer par e-mail).</w:t>
      </w:r>
    </w:p>
    <w:p>
      <w:pPr>
        <w:pStyle w:val="Heading1"/>
      </w:pPr>
      <w:bookmarkStart w:name="_Toc58" w:id="58"/>
      <w:r>
        <w:t xml:space="preserve">7.  Coachs : rechercher, consulter, modifier</w:t>
      </w:r>
      <w:bookmarkEnd w:id="58"/>
    </w:p>
    <w:p>
      <w:pPr>
        <w:spacing w:after="120"/>
      </w:pPr>
      <w:r>
        <w:rPr>
          <w:sz w:val="22"/>
          <w:szCs w:val="22"/>
        </w:rPr>
        <w:t xml:space="preserve">Permission requise : « Validation des coachs ». Le bouton « Coachs » du tableau de bord ouvre la recherche.</w:t>
      </w:r>
    </w:p>
    <w:p>
      <w:pPr>
        <w:pStyle w:val="ListParagraph"/>
        <w:numPr>
          <w:ilvl w:val="0"/>
          <w:numId w:val="2"/>
        </w:numPr>
        <w:spacing w:after="40"/>
      </w:pPr>
      <w:r>
        <w:rPr>
          <w:sz w:val="22"/>
          <w:szCs w:val="22"/>
        </w:rPr>
        <w:t xml:space="preserve">Recherchez un coach par nom ou e-mail ; chaque résultat indique son statut et sa certification.</w:t>
      </w:r>
    </w:p>
    <w:p>
      <w:pPr>
        <w:pStyle w:val="ListParagraph"/>
        <w:numPr>
          <w:ilvl w:val="0"/>
          <w:numId w:val="2"/>
        </w:numPr>
        <w:spacing w:after="40"/>
      </w:pPr>
      <w:r>
        <w:rPr>
          <w:sz w:val="22"/>
          <w:szCs w:val="22"/>
        </w:rPr>
        <w:t xml:space="preserve">Consulter : ouvre sa fiche d'examen (identité, zone, compétences, disciplines, documents).</w:t>
      </w:r>
    </w:p>
    <w:p>
      <w:pPr>
        <w:pStyle w:val="ListParagraph"/>
        <w:numPr>
          <w:ilvl w:val="0"/>
          <w:numId w:val="2"/>
        </w:numPr>
        <w:spacing w:after="40"/>
      </w:pPr>
      <w:r>
        <w:rPr>
          <w:sz w:val="22"/>
          <w:szCs w:val="22"/>
        </w:rPr>
        <w:t xml:space="preserve">Modifier : ouvre son profil complet en mode administrateur — vous pouvez mettre à jour ses 6 parties, sa photo et la priorité de ses disciplines, en son nom.</w:t>
      </w:r>
    </w:p>
    <w:p>
      <w:pPr>
        <w:pStyle w:val="Heading2"/>
      </w:pPr>
      <w:r>
        <w:t xml:space="preserve">Valider ou refuser</w:t>
      </w:r>
    </w:p>
    <w:p>
      <w:pPr>
        <w:pStyle w:val="ListParagraph"/>
        <w:numPr>
          <w:ilvl w:val="0"/>
          <w:numId w:val="2"/>
        </w:numPr>
        <w:spacing w:after="40"/>
      </w:pPr>
      <w:r>
        <w:rPr>
          <w:sz w:val="22"/>
          <w:szCs w:val="22"/>
        </w:rPr>
        <w:t xml:space="preserve">Depuis la fiche d'examen : « Valider » le profil, ou « Refuser » avec un motif (au moins 10 caractères).</w:t>
      </w:r>
    </w:p>
    <w:p>
      <w:pPr>
        <w:pStyle w:val="ListParagraph"/>
        <w:numPr>
          <w:ilvl w:val="0"/>
          <w:numId w:val="2"/>
        </w:numPr>
        <w:spacing w:after="40"/>
      </w:pPr>
      <w:r>
        <w:rPr>
          <w:sz w:val="22"/>
          <w:szCs w:val="22"/>
        </w:rPr>
        <w:t xml:space="preserve">Vous pouvez aussi « Certifier » un coach, ou lui retirer sa certification.</w:t>
      </w:r>
    </w:p>
    <w:p>
      <w:pPr>
        <w:pStyle w:val="Heading2"/>
      </w:pPr>
      <w:r>
        <w:t xml:space="preserve">Refus groupé (au même motif)</w:t>
      </w:r>
    </w:p>
    <w:p>
      <w:pPr>
        <w:spacing w:after="120"/>
      </w:pPr>
      <w:r>
        <w:rPr>
          <w:sz w:val="22"/>
          <w:szCs w:val="22"/>
        </w:rPr>
        <w:t xml:space="preserve">Sur le tableau de bord, dans la liste « Coachs en attente de validation », cochez plusieurs coachs (ou « tout sélectionner »). Une barre apparaît : saisissez un motif commun (au moins 10 caractères) et appuyez sur « Refuser la sélection ». Tous les coachs cochés sont refusés d'un coup, avec le même motif — pratique quand la raison est identique (par exemple un dossier incomplet).</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Les tarifs et prétentions des coachs ne sont visibles que par l'administration.</w:t>
      </w:r>
    </w:p>
    <w:p>
      <w:pPr>
        <w:pStyle w:val="Heading1"/>
      </w:pPr>
      <w:bookmarkStart w:name="_Toc59" w:id="59"/>
      <w:r>
        <w:t xml:space="preserve">8.  Finances &amp; commissions</w:t>
      </w:r>
      <w:bookmarkEnd w:id="59"/>
    </w:p>
    <w:p>
      <w:pPr>
        <w:spacing w:after="120"/>
      </w:pPr>
      <w:r>
        <w:rPr>
          <w:sz w:val="22"/>
          <w:szCs w:val="22"/>
        </w:rPr>
        <w:t xml:space="preserve">Permission requise : « Finances &amp; statistiques ».</w:t>
      </w:r>
    </w:p>
    <w:p>
      <w:pPr>
        <w:pStyle w:val="ListParagraph"/>
        <w:numPr>
          <w:ilvl w:val="0"/>
          <w:numId w:val="2"/>
        </w:numPr>
        <w:spacing w:after="40"/>
      </w:pPr>
      <w:r>
        <w:rPr>
          <w:sz w:val="22"/>
          <w:szCs w:val="22"/>
        </w:rPr>
        <w:t xml:space="preserve">La page « Commissions » récapitule les commissions à payer, regroupées par parrain.</w:t>
      </w:r>
    </w:p>
    <w:p>
      <w:pPr>
        <w:pStyle w:val="ListParagraph"/>
        <w:numPr>
          <w:ilvl w:val="0"/>
          <w:numId w:val="2"/>
        </w:numPr>
        <w:spacing w:after="40"/>
      </w:pPr>
      <w:r>
        <w:rPr>
          <w:sz w:val="22"/>
          <w:szCs w:val="22"/>
        </w:rPr>
        <w:t xml:space="preserve">Vous pouvez marquer une commission « payée », ou régler d'un coup toutes celles d'un parrain — avant d'effectuer le versement réel par Mobile Money.</w:t>
      </w:r>
    </w:p>
    <w:p>
      <w:pPr>
        <w:pStyle w:val="Heading1"/>
      </w:pPr>
      <w:bookmarkStart w:name="_Toc60" w:id="60"/>
      <w:r>
        <w:t xml:space="preserve">9.  Messagerie</w:t>
      </w:r>
      <w:bookmarkEnd w:id="60"/>
    </w:p>
    <w:p>
      <w:pPr>
        <w:spacing w:after="120"/>
      </w:pPr>
      <w:r>
        <w:rPr>
          <w:sz w:val="22"/>
          <w:szCs w:val="22"/>
        </w:rPr>
        <w:t xml:space="preserve">L'administrateur peut échanger avec tous les utilisateurs. De leur côté, les utilisateurs écrivent au « Support », et leurs messages vous parviennent.</w:t>
      </w:r>
    </w:p>
    <w:p>
      <w:pPr>
        <w:pStyle w:val="Heading1"/>
      </w:pPr>
      <w:bookmarkStart w:name="_Toc61" w:id="61"/>
      <w:r>
        <w:t xml:space="preserve">10.  Votre compte</w:t>
      </w:r>
      <w:bookmarkEnd w:id="61"/>
    </w:p>
    <w:p>
      <w:pPr>
        <w:spacing w:after="120"/>
      </w:pPr>
      <w:r>
        <w:rPr>
          <w:sz w:val="22"/>
          <w:szCs w:val="22"/>
        </w:rPr>
        <w:t xml:space="preserve">Depuis « Mon compte », vous pouvez modifier votre mot de passe. Conservez vos identifiants en lieu sûr et ne les partagez avec personne.</w:t>
      </w:r>
    </w:p>
    <w:p>
      <w:pPr>
        <w:pStyle w:val="Heading1"/>
      </w:pPr>
      <w:bookmarkStart w:name="_Toc62" w:id="62"/>
      <w:r>
        <w:t xml:space="preserve">11.  Formation : formules, paiements et accès</w:t>
      </w:r>
      <w:bookmarkEnd w:id="62"/>
    </w:p>
    <w:p>
      <w:pPr>
        <w:spacing w:after="120"/>
      </w:pPr>
      <w:r>
        <w:rPr>
          <w:sz w:val="22"/>
          <w:szCs w:val="22"/>
        </w:rPr>
        <w:t xml:space="preserve">Permission requise : « Formation &amp; tests psychotechniques ». L'écran « Inscriptions Formation » (menu de votre photo) est votre poste de pilotage.</w:t>
      </w:r>
    </w:p>
    <w:p>
      <w:pPr>
        <w:pStyle w:val="Heading2"/>
      </w:pPr>
      <w:r>
        <w:t xml:space="preserve">Créer les formules (les tarifs)</w:t>
      </w:r>
    </w:p>
    <w:p>
      <w:pPr>
        <w:pStyle w:val="ListParagraph"/>
        <w:numPr>
          <w:ilvl w:val="0"/>
          <w:numId w:val="7"/>
        </w:numPr>
        <w:spacing w:after="40"/>
      </w:pPr>
      <w:r>
        <w:rPr>
          <w:sz w:val="22"/>
          <w:szCs w:val="22"/>
        </w:rPr>
        <w:t xml:space="preserve">Dans « Formules d'accès (tarifs) », remplissez : le nom (ex. « Pack Concours »), le prix en FCFA, la durée en jours (vide = illimitée), le quota de tests (vide = illimité) et l'ordre d'affichage (1 = en premier dans les listes).</w:t>
      </w:r>
    </w:p>
    <w:p>
      <w:pPr>
        <w:pStyle w:val="ListParagraph"/>
        <w:numPr>
          <w:ilvl w:val="0"/>
          <w:numId w:val="7"/>
        </w:numPr>
        <w:spacing w:after="40"/>
      </w:pPr>
      <w:r>
        <w:rPr>
          <w:sz w:val="22"/>
          <w:szCs w:val="22"/>
        </w:rPr>
        <w:t xml:space="preserve">« Enregistrer la formule ». Elle apparaît aussitôt sur la page publique Formation.</w:t>
      </w:r>
    </w:p>
    <w:p>
      <w:pPr>
        <w:pStyle w:val="ListParagraph"/>
        <w:numPr>
          <w:ilvl w:val="0"/>
          <w:numId w:val="7"/>
        </w:numPr>
        <w:spacing w:after="40"/>
      </w:pPr>
      <w:r>
        <w:rPr>
          <w:sz w:val="22"/>
          <w:szCs w:val="22"/>
        </w:rPr>
        <w:t xml:space="preserve">« Désactiver » retire une formule de la vente sans toucher aux accès déjà validés.</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Tant qu'aucune formule active n'existe, les candidats ne peuvent demander qu'une autorisation gratuite.</w:t>
      </w:r>
    </w:p>
    <w:p>
      <w:pPr>
        <w:pStyle w:val="Heading2"/>
      </w:pPr>
      <w:r>
        <w:t xml:space="preserve">Vérifier un paiement déclaré</w:t>
      </w:r>
    </w:p>
    <w:p>
      <w:pPr>
        <w:pStyle w:val="ListParagraph"/>
        <w:numPr>
          <w:ilvl w:val="0"/>
          <w:numId w:val="8"/>
        </w:numPr>
        <w:spacing w:after="40"/>
      </w:pPr>
      <w:r>
        <w:rPr>
          <w:sz w:val="22"/>
          <w:szCs w:val="22"/>
        </w:rPr>
        <w:t xml:space="preserve">Chaque demande « 💳 Paiement déclaré » affiche : la formule, le MONTANT ATTENDU (après réduction éventuelle), l'opérateur et la référence de transaction saisie par le candidat.</w:t>
      </w:r>
    </w:p>
    <w:p>
      <w:pPr>
        <w:pStyle w:val="ListParagraph"/>
        <w:numPr>
          <w:ilvl w:val="0"/>
          <w:numId w:val="8"/>
        </w:numPr>
        <w:spacing w:after="40"/>
      </w:pPr>
      <w:r>
        <w:rPr>
          <w:sz w:val="22"/>
          <w:szCs w:val="22"/>
        </w:rPr>
        <w:t xml:space="preserve">Ouvrez votre relevé Mobile Money et vérifiez que ce montant est bien arrivé avec cette référence.</w:t>
      </w:r>
    </w:p>
    <w:p>
      <w:pPr>
        <w:pStyle w:val="ListParagraph"/>
        <w:numPr>
          <w:ilvl w:val="0"/>
          <w:numId w:val="8"/>
        </w:numPr>
        <w:spacing w:after="40"/>
      </w:pPr>
      <w:r>
        <w:rPr>
          <w:sz w:val="22"/>
          <w:szCs w:val="22"/>
        </w:rPr>
        <w:t xml:space="preserve">Argent reçu → « Paiement reçu, activer » : l'accès s'ouvre (avec sa durée), le candidat est prévenu par e-mail — et si un parrain est concerné, sa rétrocession est créditée automatiquement.</w:t>
      </w:r>
    </w:p>
    <w:p>
      <w:pPr>
        <w:pStyle w:val="ListParagraph"/>
        <w:numPr>
          <w:ilvl w:val="0"/>
          <w:numId w:val="8"/>
        </w:numPr>
        <w:spacing w:after="40"/>
      </w:pPr>
      <w:r>
        <w:rPr>
          <w:sz w:val="22"/>
          <w:szCs w:val="22"/>
        </w:rPr>
        <w:t xml:space="preserve">Rien reçu ou référence fausse → « Refuser » avec un motif : le candidat peut corriger et re-déclarer.</w:t>
      </w:r>
    </w:p>
    <w:p>
      <w:pPr>
        <w:pBdr>
          <w:top w:val="single" w:color="FDF3E6" w:sz="2" w:space="6"/>
          <w:left w:val="single" w:color="C9871C" w:sz="18" w:space="10"/>
          <w:bottom w:val="single" w:color="FDF3E6" w:sz="2" w:space="6"/>
          <w:right w:val="single" w:color="FDF3E6" w:sz="2" w:space="6"/>
        </w:pBdr>
        <w:shd w:fill="FDF3E6" w:color="auto" w:val="clear"/>
        <w:spacing w:after="140" w:before="80"/>
      </w:pPr>
      <w:r>
        <w:rPr>
          <w:b/>
          <w:bCs/>
          <w:color w:val="C9871C"/>
          <w:sz w:val="21"/>
          <w:szCs w:val="21"/>
        </w:rPr>
        <w:t xml:space="preserve">Attention — </w:t>
      </w:r>
      <w:r>
        <w:rPr>
          <w:color w:val="5A3D12"/>
          <w:sz w:val="21"/>
          <w:szCs w:val="21"/>
        </w:rPr>
        <w:t xml:space="preserve">Ne validez JAMAIS sans avoir vu l'argent sur le relevé : la validation crédite définitivement l'accès et, le cas échéant, la rétrocession du parrain.</w:t>
      </w:r>
    </w:p>
    <w:p>
      <w:pPr>
        <w:pStyle w:val="Heading2"/>
      </w:pPr>
      <w:r>
        <w:t xml:space="preserve">Autoriser gratuitement / révoquer</w:t>
      </w:r>
    </w:p>
    <w:p>
      <w:pPr>
        <w:pStyle w:val="ListParagraph"/>
        <w:numPr>
          <w:ilvl w:val="0"/>
          <w:numId w:val="2"/>
        </w:numPr>
        <w:spacing w:after="40"/>
      </w:pPr>
      <w:r>
        <w:rPr>
          <w:sz w:val="22"/>
          <w:szCs w:val="22"/>
        </w:rPr>
        <w:t xml:space="preserve">« Autoriser un utilisateur » : saisissez son e-mail et une durée éventuelle — accès immédiat sans paiement (partenariats, boursiers…).</w:t>
      </w:r>
    </w:p>
    <w:p>
      <w:pPr>
        <w:pStyle w:val="ListParagraph"/>
        <w:numPr>
          <w:ilvl w:val="0"/>
          <w:numId w:val="2"/>
        </w:numPr>
        <w:spacing w:after="40"/>
      </w:pPr>
      <w:r>
        <w:rPr>
          <w:sz w:val="22"/>
          <w:szCs w:val="22"/>
        </w:rPr>
        <w:t xml:space="preserve">Un accès validé ne se retire pas par « Refuser » : utilisez « Rembourser » dans Finance &amp; parrainage (la rétrocession du parrain est alors contre-passée proprement).</w:t>
      </w:r>
    </w:p>
    <w:p>
      <w:pPr>
        <w:pStyle w:val="Heading1"/>
      </w:pPr>
      <w:bookmarkStart w:name="_Toc63" w:id="63"/>
      <w:r>
        <w:t xml:space="preserve">12.  Codes promo &amp; liens promo</w:t>
      </w:r>
      <w:bookmarkEnd w:id="63"/>
    </w:p>
    <w:p>
      <w:pPr>
        <w:spacing w:after="120"/>
      </w:pPr>
      <w:r>
        <w:rPr>
          <w:sz w:val="22"/>
          <w:szCs w:val="22"/>
        </w:rPr>
        <w:t xml:space="preserve">Permission requise : « Finances &amp; statistiques ». L'écran « Codes promo » crée des réductions et leurs liens partageables.</w:t>
      </w:r>
    </w:p>
    <w:p>
      <w:pPr>
        <w:pStyle w:val="ListParagraph"/>
        <w:numPr>
          <w:ilvl w:val="0"/>
          <w:numId w:val="9"/>
        </w:numPr>
        <w:spacing w:after="40"/>
      </w:pPr>
      <w:r>
        <w:rPr>
          <w:sz w:val="22"/>
          <w:szCs w:val="22"/>
        </w:rPr>
        <w:t xml:space="preserve">Créez un code : nom (ex. CONCOURS2026), réduction en %, nombre d'utilisations maximum et date d'expiration (facultatifs).</w:t>
      </w:r>
    </w:p>
    <w:p>
      <w:pPr>
        <w:pStyle w:val="ListParagraph"/>
        <w:numPr>
          <w:ilvl w:val="0"/>
          <w:numId w:val="9"/>
        </w:numPr>
        <w:spacing w:after="40"/>
      </w:pPr>
      <w:r>
        <w:rPr>
          <w:sz w:val="22"/>
          <w:szCs w:val="22"/>
        </w:rPr>
        <w:t xml:space="preserve">Chaque code a son LIEN PROMO (ex. family.eduweb.ci/formation?promo=CONCOURS2026) : la page Formation affiche la réduction et pré-remplit le code pour le candidat. Boutons « Copier » et « WhatsApp » intégrés.</w:t>
      </w:r>
    </w:p>
    <w:p>
      <w:pPr>
        <w:pStyle w:val="ListParagraph"/>
        <w:numPr>
          <w:ilvl w:val="0"/>
          <w:numId w:val="9"/>
        </w:numPr>
        <w:spacing w:after="40"/>
      </w:pPr>
      <w:r>
        <w:rPr>
          <w:sz w:val="22"/>
          <w:szCs w:val="22"/>
        </w:rPr>
        <w:t xml:space="preserve">Le compteur d'utilisations se met à jour automatiquement ; « Désactiver » stoppe un code à tout moment.</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Code promo et réduction parrainage ne se cumulent pas : la plus avantageuse s'applique automatiquement.</w:t>
      </w:r>
    </w:p>
    <w:p>
      <w:pPr>
        <w:pStyle w:val="Heading1"/>
      </w:pPr>
      <w:bookmarkStart w:name="_Toc64" w:id="64"/>
      <w:r>
        <w:t xml:space="preserve">13.  Finance &amp; parrainage : rétrocessions, versements, antifraude</w:t>
      </w:r>
      <w:bookmarkEnd w:id="64"/>
    </w:p>
    <w:p>
      <w:pPr>
        <w:spacing w:after="120"/>
      </w:pPr>
      <w:r>
        <w:rPr>
          <w:sz w:val="22"/>
          <w:szCs w:val="22"/>
        </w:rPr>
        <w:t xml:space="preserve">Permission requise : « Finances &amp; statistiques ». L'écran « Finance &amp; parrainage » pilote l'économie de la Formation.</w:t>
      </w:r>
    </w:p>
    <w:p>
      <w:pPr>
        <w:pStyle w:val="Heading2"/>
      </w:pPr>
      <w:r>
        <w:t xml:space="preserve">Les indicateurs</w:t>
      </w:r>
    </w:p>
    <w:p>
      <w:pPr>
        <w:pStyle w:val="ListParagraph"/>
        <w:numPr>
          <w:ilvl w:val="0"/>
          <w:numId w:val="2"/>
        </w:numPr>
        <w:spacing w:after="40"/>
      </w:pPr>
      <w:r>
        <w:rPr>
          <w:sz w:val="22"/>
          <w:szCs w:val="22"/>
        </w:rPr>
        <w:t xml:space="preserve">RAR (Revenu Après Réductions et Rétrocessions) : l'indicateur central. Le feu 🟢/🟠/🔴 compare le RAR moyen par abonné à la cible (8 500 FCFA par défaut).</w:t>
      </w:r>
    </w:p>
    <w:p>
      <w:pPr>
        <w:pStyle w:val="ListParagraph"/>
        <w:numPr>
          <w:ilvl w:val="0"/>
          <w:numId w:val="2"/>
        </w:numPr>
        <w:spacing w:after="40"/>
      </w:pPr>
      <w:r>
        <w:rPr>
          <w:sz w:val="22"/>
          <w:szCs w:val="22"/>
        </w:rPr>
        <w:t xml:space="preserve">Aussi : CA facial, encaissements, réductions accordées, rétrocessions dues et versées, engagements restants, coût d'acquisition, coefficient de viralité K.</w:t>
      </w:r>
    </w:p>
    <w:p>
      <w:pPr>
        <w:pStyle w:val="ListParagraph"/>
        <w:numPr>
          <w:ilvl w:val="0"/>
          <w:numId w:val="2"/>
        </w:numPr>
        <w:spacing w:after="40"/>
      </w:pPr>
      <w:r>
        <w:rPr>
          <w:sz w:val="22"/>
          <w:szCs w:val="22"/>
        </w:rPr>
        <w:t xml:space="preserve">Des graphiques d'évolution se remplissent jour après jour ; exports CSV et impression disponibles.</w:t>
      </w:r>
    </w:p>
    <w:p>
      <w:pPr>
        <w:pStyle w:val="Heading2"/>
      </w:pPr>
      <w:r>
        <w:t xml:space="preserve">Verser les rétrocessions</w:t>
      </w:r>
    </w:p>
    <w:p>
      <w:pPr>
        <w:pStyle w:val="ListParagraph"/>
        <w:numPr>
          <w:ilvl w:val="0"/>
          <w:numId w:val="10"/>
        </w:numPr>
        <w:spacing w:after="40"/>
      </w:pPr>
      <w:r>
        <w:rPr>
          <w:sz w:val="22"/>
          <w:szCs w:val="22"/>
        </w:rPr>
        <w:t xml:space="preserve">« Versements à traiter » liste les demandes des parrains : montant, moyen (Wave, Orange…), numéro bénéficiaire.</w:t>
      </w:r>
    </w:p>
    <w:p>
      <w:pPr>
        <w:pStyle w:val="ListParagraph"/>
        <w:numPr>
          <w:ilvl w:val="0"/>
          <w:numId w:val="10"/>
        </w:numPr>
        <w:spacing w:after="40"/>
      </w:pPr>
      <w:r>
        <w:rPr>
          <w:sz w:val="22"/>
          <w:szCs w:val="22"/>
        </w:rPr>
        <w:t xml:space="preserve">Envoyez l'argent par Mobile Money, PUIS saisissez la référence du transfert et « Versé ✓ ».</w:t>
      </w:r>
    </w:p>
    <w:p>
      <w:pPr>
        <w:pStyle w:val="ListParagraph"/>
        <w:numPr>
          <w:ilvl w:val="0"/>
          <w:numId w:val="10"/>
        </w:numPr>
        <w:spacing w:after="40"/>
      </w:pPr>
      <w:r>
        <w:rPr>
          <w:sz w:val="22"/>
          <w:szCs w:val="22"/>
        </w:rPr>
        <w:t xml:space="preserve">Problème ? « Échec ✗ » avec un motif : le montant est automatiquement recrédité au parrain.</w:t>
      </w:r>
    </w:p>
    <w:p>
      <w:pPr>
        <w:pStyle w:val="Heading2"/>
      </w:pPr>
      <w:r>
        <w:t xml:space="preserve">Antifraude et remboursements</w:t>
      </w:r>
    </w:p>
    <w:p>
      <w:pPr>
        <w:pStyle w:val="ListParagraph"/>
        <w:numPr>
          <w:ilvl w:val="0"/>
          <w:numId w:val="2"/>
        </w:numPr>
        <w:spacing w:after="40"/>
      </w:pPr>
      <w:r>
        <w:rPr>
          <w:sz w:val="22"/>
          <w:szCs w:val="22"/>
        </w:rPr>
        <w:t xml:space="preserve">« Signaux antifraude » : le système détecte les situations suspectes (même référence déclarée deux fois, même numéro de versement sur plusieurs comptes, rythme anormal…). C'est VOUS qui décidez : RAS, Suspect, ou Bloquer (les gains et versements du compte sont alors suspendus).</w:t>
      </w:r>
    </w:p>
    <w:p>
      <w:pPr>
        <w:pStyle w:val="ListParagraph"/>
        <w:numPr>
          <w:ilvl w:val="0"/>
          <w:numId w:val="2"/>
        </w:numPr>
        <w:spacing w:after="40"/>
      </w:pPr>
      <w:r>
        <w:rPr>
          <w:sz w:val="22"/>
          <w:szCs w:val="22"/>
        </w:rPr>
        <w:t xml:space="preserve">« Rembourser » un abonnement : l'accès est révoqué et la rétrocession du parrain contre-passée — l'historique comptable reste intact (aucune écriture n'est jamais effacée).</w:t>
      </w:r>
    </w:p>
    <w:p>
      <w:pPr>
        <w:pStyle w:val="ListParagraph"/>
        <w:numPr>
          <w:ilvl w:val="0"/>
          <w:numId w:val="2"/>
        </w:numPr>
        <w:spacing w:after="40"/>
      </w:pPr>
      <w:r>
        <w:rPr>
          <w:sz w:val="22"/>
          <w:szCs w:val="22"/>
        </w:rPr>
        <w:t xml:space="preserve">Le simulateur de rentabilité vous permet de tester des scénarios (1 000 à 100 000 abonnés) avant de changer les tarifs.</w:t>
      </w:r>
    </w:p>
    <w:p>
      <w:pPr>
        <w:pStyle w:val="Heading1"/>
      </w:pPr>
      <w:bookmarkStart w:name="_Toc65" w:id="65"/>
      <w:r>
        <w:t xml:space="preserve">14.  Éditions : librairie en ligne, commandes et loterie</w:t>
      </w:r>
      <w:bookmarkEnd w:id="65"/>
    </w:p>
    <w:p>
      <w:pPr>
        <w:spacing w:after="120"/>
      </w:pPr>
      <w:r>
        <w:rPr>
          <w:sz w:val="22"/>
          <w:szCs w:val="22"/>
        </w:rPr>
        <w:t xml:space="preserve">Permission requise : « Éditions : librairie, commandes &amp; loterie des ouvrages ». L'écran « Librairie des ouvrages » (menu de votre photo) gère le catalogue public /ouvrages et ses commandes.</w:t>
      </w:r>
    </w:p>
    <w:p>
      <w:pPr>
        <w:pStyle w:val="Heading2"/>
      </w:pPr>
      <w:r>
        <w:t xml:space="preserve">Composer le catalogue (nombre de livres illimité)</w:t>
      </w:r>
    </w:p>
    <w:p>
      <w:pPr>
        <w:pStyle w:val="ListParagraph"/>
        <w:numPr>
          <w:ilvl w:val="0"/>
          <w:numId w:val="11"/>
        </w:numPr>
        <w:spacing w:after="40"/>
      </w:pPr>
      <w:r>
        <w:rPr>
          <w:sz w:val="22"/>
          <w:szCs w:val="22"/>
        </w:rPr>
        <w:t xml:space="preserve">« Ajouter un livre » : titre, niveau, sous-titre, DESCRIPTION (visible dans la librairie), PRIX en FCFA et couverture (JPG, PNG ou WebP, 3 Mo maximum — optimisée automatiquement).</w:t>
      </w:r>
    </w:p>
    <w:p>
      <w:pPr>
        <w:pStyle w:val="ListParagraph"/>
        <w:numPr>
          <w:ilvl w:val="0"/>
          <w:numId w:val="11"/>
        </w:numPr>
        <w:spacing w:after="40"/>
      </w:pPr>
      <w:r>
        <w:rPr>
          <w:sz w:val="22"/>
          <w:szCs w:val="22"/>
        </w:rPr>
        <w:t xml:space="preserve">Le PRIX déclenche la vente : avec un prix, le bouton « Commander » apparaît sur /ouvrages ; sans prix, le livre reste en vitrine (« bientôt disponible »). Les prix publics affichent automatiquement l'équivalent en euros (taux du jour).</w:t>
      </w:r>
    </w:p>
    <w:p>
      <w:pPr>
        <w:pStyle w:val="ListParagraph"/>
        <w:numPr>
          <w:ilvl w:val="0"/>
          <w:numId w:val="11"/>
        </w:numPr>
        <w:spacing w:after="40"/>
      </w:pPr>
      <w:r>
        <w:rPr>
          <w:sz w:val="22"/>
          <w:szCs w:val="22"/>
        </w:rPr>
        <w:t xml:space="preserve">L'ordre d'affichage classe le catalogue ; l'accueil du site présente les 6 premiers livres actifs, la librairie les montre tous.</w:t>
      </w:r>
    </w:p>
    <w:p>
      <w:pPr>
        <w:pStyle w:val="ListParagraph"/>
        <w:numPr>
          <w:ilvl w:val="0"/>
          <w:numId w:val="11"/>
        </w:numPr>
        <w:spacing w:after="40"/>
      </w:pPr>
      <w:r>
        <w:rPr>
          <w:sz w:val="22"/>
          <w:szCs w:val="22"/>
        </w:rPr>
        <w:t xml:space="preserve">« Masquer » retire un livre de la vente sans le supprimer ; « Supprimer » l'efface — ses commandes déjà passées sont conservées.</w:t>
      </w:r>
    </w:p>
    <w:p>
      <w:pPr>
        <w:pStyle w:val="Heading2"/>
      </w:pPr>
      <w:r>
        <w:t xml:space="preserve">Traiter les commandes</w:t>
      </w:r>
    </w:p>
    <w:p>
      <w:pPr>
        <w:pStyle w:val="ListParagraph"/>
        <w:numPr>
          <w:ilvl w:val="0"/>
          <w:numId w:val="12"/>
        </w:numPr>
        <w:spacing w:after="40"/>
      </w:pPr>
      <w:r>
        <w:rPr>
          <w:sz w:val="22"/>
          <w:szCs w:val="22"/>
        </w:rPr>
        <w:t xml:space="preserve">Chaque commande affiche : l'ouvrage, la quantité, le MONTANT TOTAL, le nom et le téléphone de l'acheteur, le lieu de livraison et le mode de paiement.</w:t>
      </w:r>
    </w:p>
    <w:p>
      <w:pPr>
        <w:pStyle w:val="ListParagraph"/>
        <w:numPr>
          <w:ilvl w:val="0"/>
          <w:numId w:val="12"/>
        </w:numPr>
        <w:spacing w:after="40"/>
      </w:pPr>
      <w:r>
        <w:rPr>
          <w:sz w:val="22"/>
          <w:szCs w:val="22"/>
        </w:rPr>
        <w:t xml:space="preserve">Paiement « 📱 mobile money » : l'acheteur déclare l'opérateur et la référence de son versement — vérifiez le relevé Mobile Money AVANT de confirmer, comme pour la Formation.</w:t>
      </w:r>
    </w:p>
    <w:p>
      <w:pPr>
        <w:pStyle w:val="ListParagraph"/>
        <w:numPr>
          <w:ilvl w:val="0"/>
          <w:numId w:val="12"/>
        </w:numPr>
        <w:spacing w:after="40"/>
      </w:pPr>
      <w:r>
        <w:rPr>
          <w:sz w:val="22"/>
          <w:szCs w:val="22"/>
        </w:rPr>
        <w:t xml:space="preserve">Paiement « 💵 à la livraison » : appelez l'acheteur au numéro indiqué pour convenir de la remise ; il règle à la réception.</w:t>
      </w:r>
    </w:p>
    <w:p>
      <w:pPr>
        <w:pStyle w:val="ListParagraph"/>
        <w:numPr>
          <w:ilvl w:val="0"/>
          <w:numId w:val="12"/>
        </w:numPr>
        <w:spacing w:after="40"/>
      </w:pPr>
      <w:r>
        <w:rPr>
          <w:sz w:val="22"/>
          <w:szCs w:val="22"/>
        </w:rPr>
        <w:t xml:space="preserve">LE SEUIL DE PRÉPAIEMENT (réglage « Règle de paiement ») : fixez un nombre d'exemplaires à partir duquel le paiement mobile money AVANT livraison devient obligatoire — en dessous, le paiement à la livraison reste proposé. Champ vide : aucun seuil. Le bon de commande applique la règle automatiquement (l'option « à la livraison » se désactive).</w:t>
      </w:r>
    </w:p>
    <w:p>
      <w:pPr>
        <w:pStyle w:val="ListParagraph"/>
        <w:numPr>
          <w:ilvl w:val="0"/>
          <w:numId w:val="12"/>
        </w:numPr>
        <w:spacing w:after="40"/>
      </w:pPr>
      <w:r>
        <w:rPr>
          <w:sz w:val="22"/>
          <w:szCs w:val="22"/>
        </w:rPr>
        <w:t xml:space="preserve">Le suivi se fait en un clic : « Confirmer » (commande vérifiée, en préparation) → « Livrée ». « Annuler » reste possible avant la livraison, et une commande annulée peut être rouverte.</w:t>
      </w:r>
    </w:p>
    <w:p>
      <w:pPr>
        <w:pStyle w:val="ListParagraph"/>
        <w:numPr>
          <w:ilvl w:val="0"/>
          <w:numId w:val="12"/>
        </w:numPr>
        <w:spacing w:after="40"/>
      </w:pPr>
      <w:r>
        <w:rPr>
          <w:sz w:val="22"/>
          <w:szCs w:val="22"/>
        </w:rPr>
        <w:t xml:space="preserve">« Export CSV » télécharge toutes les commandes (tableur) pour la logistique ou la comptabilité.</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Les acheteurs n'ont pas besoin de compte EduWeb pour commander : le téléphone saisi est votre canal de contact. Rappelez-leur d'enregistrer le code de loterie de leur livre !</w:t>
      </w:r>
    </w:p>
    <w:p>
      <w:pPr>
        <w:pStyle w:val="Heading2"/>
      </w:pPr>
      <w:r>
        <w:t xml:space="preserve">La loterie des ouvrages</w:t>
      </w:r>
    </w:p>
    <w:p>
      <w:pPr>
        <w:pStyle w:val="ListParagraph"/>
        <w:numPr>
          <w:ilvl w:val="0"/>
          <w:numId w:val="2"/>
        </w:numPr>
        <w:spacing w:after="40"/>
      </w:pPr>
      <w:r>
        <w:rPr>
          <w:sz w:val="22"/>
          <w:szCs w:val="22"/>
        </w:rPr>
        <w:t xml:space="preserve">L'écran « Loterie (admin) » gère les séries de codes imprimés dans les livres, les périodes de tirage, le nombre de lauréats et les notifications (e-mail, SMS, WhatsApp).</w:t>
      </w:r>
    </w:p>
    <w:p>
      <w:pPr>
        <w:pStyle w:val="ListParagraph"/>
        <w:numPr>
          <w:ilvl w:val="0"/>
          <w:numId w:val="2"/>
        </w:numPr>
        <w:spacing w:after="40"/>
      </w:pPr>
      <w:r>
        <w:rPr>
          <w:sz w:val="22"/>
          <w:szCs w:val="22"/>
        </w:rPr>
        <w:t xml:space="preserve">Générez une nouvelle série de codes pour chaque futur ouvrage ; exportez-la en CSV pour l'imprimeur.</w:t>
      </w:r>
    </w:p>
    <w:p>
      <w:pPr>
        <w:pStyle w:val="ListParagraph"/>
        <w:numPr>
          <w:ilvl w:val="0"/>
          <w:numId w:val="2"/>
        </w:numPr>
        <w:spacing w:after="40"/>
      </w:pPr>
      <w:r>
        <w:rPr>
          <w:sz w:val="22"/>
          <w:szCs w:val="22"/>
        </w:rPr>
        <w:t xml:space="preserve">Les tirages peuvent être lancés manuellement ou automatiquement à l'échéance ; les lauréats apparaissent avec leur statut de notification.</w:t>
      </w:r>
    </w:p>
    <w:p>
      <w:pPr>
        <w:pStyle w:val="Heading1"/>
      </w:pPr>
      <w:bookmarkStart w:name="_Toc66" w:id="66"/>
      <w:r>
        <w:t xml:space="preserve">15.  Banque de ressources didactiques &amp; dons</w:t>
      </w:r>
      <w:bookmarkEnd w:id="66"/>
    </w:p>
    <w:p>
      <w:pPr>
        <w:spacing w:after="120"/>
      </w:pPr>
      <w:r>
        <w:rPr>
          <w:sz w:val="22"/>
          <w:szCs w:val="22"/>
        </w:rPr>
        <w:t xml:space="preserve">La page publique family.eduweb.ci/ressources offre des contenus à consulter gratuitement, classés par cycle (barre latérale : cycle primaire, 1er cycle secondaire, 2nd cycle secondaire, cycle supérieur) puis par niveau. Vous la composez depuis « Ressources (admin) » (permission Éditions) ; les dons qui la soutiennent se vérifient dans « 💛 Dons », et les téléchargements payants dans « 💰 Téléchargements payants » (permission Finances).</w:t>
      </w:r>
    </w:p>
    <w:p>
      <w:pPr>
        <w:pStyle w:val="Heading2"/>
      </w:pPr>
      <w:r>
        <w:t xml:space="preserve">Composer la banque de ressources</w:t>
      </w:r>
    </w:p>
    <w:p>
      <w:pPr>
        <w:pStyle w:val="ListParagraph"/>
        <w:numPr>
          <w:ilvl w:val="0"/>
          <w:numId w:val="13"/>
        </w:numPr>
        <w:spacing w:after="40"/>
      </w:pPr>
      <w:r>
        <w:rPr>
          <w:sz w:val="22"/>
          <w:szCs w:val="22"/>
        </w:rPr>
        <w:t xml:space="preserve">« Ajouter une ressource » : titre, NIVEAU (l'accordéon d'affichage — chaque niveau est rangé automatiquement dans son cycle et classé dans l'ordre : CP1 → CM2, Sixième → Troisième, Seconde → Terminale, puis BTS, licence, master… ; un niveau non reconnu, comme « Tous niveaux », s'affiche sous « Autres niveaux »), DISCIPLINE (l'accordéon à l'intérieur du niveau, replié par défaut ; ouvrir une discipline referme les autres du niveau : SVT, Physique-Chimie… — le champ propose les disciplines déjà utilisées), description, ordre.</w:t>
      </w:r>
    </w:p>
    <w:p>
      <w:pPr>
        <w:pStyle w:val="ListParagraph"/>
        <w:numPr>
          <w:ilvl w:val="0"/>
          <w:numId w:val="13"/>
        </w:numPr>
        <w:spacing w:after="40"/>
      </w:pPr>
      <w:r>
        <w:rPr>
          <w:sz w:val="22"/>
          <w:szCs w:val="22"/>
        </w:rPr>
        <w:t xml:space="preserve">Deux types de contenus : un FICHIER téléversé (PDF, audio, VIDÉO, image, Word/Excel/PowerPoint — jusqu'à 500 Mo, hébergé sur le stockage cloud ; les gros fichiers partent automatiquement en téléversement direct avec une barre de progression) OU un LIEN (page du site comme /chansons/3e, ou URL externe).</w:t>
      </w:r>
    </w:p>
    <w:p>
      <w:pPr>
        <w:pStyle w:val="ListParagraph"/>
        <w:numPr>
          <w:ilvl w:val="0"/>
          <w:numId w:val="13"/>
        </w:numPr>
        <w:spacing w:after="40"/>
      </w:pPr>
      <w:r>
        <w:rPr>
          <w:sz w:val="22"/>
          <w:szCs w:val="22"/>
        </w:rPr>
        <w:t xml:space="preserve">Les audios s'écoutent et les vidéos se regardent directement sur la page (lecteurs intégrés) ; les autres fichiers se téléchargent.</w:t>
      </w:r>
    </w:p>
    <w:p>
      <w:pPr>
        <w:pStyle w:val="ListParagraph"/>
        <w:numPr>
          <w:ilvl w:val="0"/>
          <w:numId w:val="13"/>
        </w:numPr>
        <w:spacing w:after="40"/>
      </w:pPr>
      <w:r>
        <w:rPr>
          <w:sz w:val="22"/>
          <w:szCs w:val="22"/>
        </w:rPr>
        <w:t xml:space="preserve">FRÉQUENTATION : chaque ressource affiche son nombre de consultations (lectures du média, ouvertures « Plein écran / Ouvrir ») et de téléchargements ; l'entête de la banque totalise les visites de la page (une par visiteur et par demi-heure), les consultations et les téléchargements. Les mêmes chiffres apparaissent dans le tableau « Ressources (admin) ».</w:t>
      </w:r>
    </w:p>
    <w:p>
      <w:pPr>
        <w:pStyle w:val="ListParagraph"/>
        <w:numPr>
          <w:ilvl w:val="0"/>
          <w:numId w:val="13"/>
        </w:numPr>
        <w:spacing w:after="40"/>
      </w:pPr>
      <w:r>
        <w:rPr>
          <w:sz w:val="22"/>
          <w:szCs w:val="22"/>
        </w:rPr>
        <w:t xml:space="preserve">« Masquer » retire une ressource du public sans la supprimer ; « Supprimer » efface aussi le fichier hébergé.</w:t>
      </w:r>
    </w:p>
    <w:p>
      <w:pPr>
        <w:pStyle w:val="Heading2"/>
      </w:pPr>
      <w:r>
        <w:t xml:space="preserve">Téléchargements payants (200 FCFA)</w:t>
      </w:r>
    </w:p>
    <w:p>
      <w:pPr>
        <w:pStyle w:val="ListParagraph"/>
        <w:numPr>
          <w:ilvl w:val="0"/>
          <w:numId w:val="14"/>
        </w:numPr>
        <w:spacing w:after="40"/>
      </w:pPr>
      <w:r>
        <w:rPr>
          <w:sz w:val="22"/>
          <w:szCs w:val="22"/>
        </w:rPr>
        <w:t xml:space="preserve">Le visionnage en ligne reste gratuit ; seul le TÉLÉCHARGEMENT d'une ressource marquée « 💰 Payant » coûte 200 FCFA (≈ 0,30 €). Une nouvelle vidéo est payante d'office (case « Téléchargement payant » cochée dans le formulaire, à décocher au besoin) ; pour une ressource déjà en ligne, utilisez le bouton « 💰 Rendre payant » (ou « Rendre gratuit ») de sa ligne dans « Ressources (admin) ».</w:t>
      </w:r>
    </w:p>
    <w:p>
      <w:pPr>
        <w:pStyle w:val="ListParagraph"/>
        <w:numPr>
          <w:ilvl w:val="0"/>
          <w:numId w:val="14"/>
        </w:numPr>
        <w:spacing w:after="40"/>
      </w:pPr>
      <w:r>
        <w:rPr>
          <w:sz w:val="22"/>
          <w:szCs w:val="22"/>
        </w:rPr>
        <w:t xml:space="preserve">Côté visiteur : « Télécharger » ouvre une fenêtre qui l'invite à payer par Wave au (+225) 07 0985 8042 ou par Flooz (Moov Money) au (+225) 01 5263 3030, puis à déclarer son paiement (opérateur, référence reçue par SMS, e-mail). Il est prévenu qu'il recevra son lien par e-mail en moins de 12 heures. Le lecteur d'une ressource payante n'offre plus de menu « Télécharger » ni de clic droit « Enregistrer sous », et « Plein écran » agrandit le lecteur au lieu d'ouvrir le fichier.</w:t>
      </w:r>
    </w:p>
    <w:p>
      <w:pPr>
        <w:pStyle w:val="ListParagraph"/>
        <w:numPr>
          <w:ilvl w:val="0"/>
          <w:numId w:val="14"/>
        </w:numPr>
        <w:spacing w:after="40"/>
      </w:pPr>
      <w:r>
        <w:rPr>
          <w:sz w:val="22"/>
          <w:szCs w:val="22"/>
        </w:rPr>
        <w:t xml:space="preserve">Chaque déclaration vous est signalée par e-mail. Dans « 💰 Téléchargements payants » : vérifiez le relevé (200 F + référence), puis « Argent reçu ✓ — envoyer le lien » : le visiteur reçoit aussitôt un lien personnel, valable 7 jours. « Rejeter… » le prévient que son paiement n'a pas été retrouvé (motif facultatif).</w:t>
      </w:r>
    </w:p>
    <w:p>
      <w:pPr>
        <w:pStyle w:val="ListParagraph"/>
        <w:numPr>
          <w:ilvl w:val="0"/>
          <w:numId w:val="14"/>
        </w:numPr>
        <w:spacing w:after="40"/>
      </w:pPr>
      <w:r>
        <w:rPr>
          <w:sz w:val="22"/>
          <w:szCs w:val="22"/>
        </w:rPr>
        <w:t xml:space="preserve">Si l'e-mail ne part pas (adresse erronée…), copiez le lien affiché sur la ligne et envoyez-le par WhatsApp ou SMS. « Renvoyer le lien » le renvoie pour 7 nouveaux jours ; une même référence déclarée plusieurs fois est signalée « ⚠️ ». L'export CSV sert à la comptabilité.</w:t>
      </w:r>
    </w:p>
    <w:p>
      <w:pPr>
        <w:pStyle w:val="Heading2"/>
      </w:pPr>
      <w:r>
        <w:t xml:space="preserve">Vérifier les dons</w:t>
      </w:r>
    </w:p>
    <w:p>
      <w:pPr>
        <w:pStyle w:val="ListParagraph"/>
        <w:numPr>
          <w:ilvl w:val="0"/>
          <w:numId w:val="15"/>
        </w:numPr>
        <w:spacing w:after="40"/>
      </w:pPr>
      <w:r>
        <w:rPr>
          <w:sz w:val="22"/>
          <w:szCs w:val="22"/>
        </w:rPr>
        <w:t xml:space="preserve">Le lien à partager : family.eduweb.ci/dons. Le donateur choisit librement son montant (dès 100 FCFA), l'envoie par mobile money au numéro EduWeb, puis déclare son versement (nom, montant, opérateur, référence).</w:t>
      </w:r>
    </w:p>
    <w:p>
      <w:pPr>
        <w:pStyle w:val="ListParagraph"/>
        <w:numPr>
          <w:ilvl w:val="0"/>
          <w:numId w:val="15"/>
        </w:numPr>
        <w:spacing w:after="40"/>
      </w:pPr>
      <w:r>
        <w:rPr>
          <w:sz w:val="22"/>
          <w:szCs w:val="22"/>
        </w:rPr>
        <w:t xml:space="preserve">Dans « 💛 Dons » : vérifiez le relevé mobile money (montant + référence) puis « Argent reçu ✓ » — ou « Rejeter » si rien n'est arrivé.</w:t>
      </w:r>
    </w:p>
    <w:p>
      <w:pPr>
        <w:pStyle w:val="ListParagraph"/>
        <w:numPr>
          <w:ilvl w:val="0"/>
          <w:numId w:val="15"/>
        </w:numPr>
        <w:spacing w:after="40"/>
      </w:pPr>
      <w:r>
        <w:rPr>
          <w:sz w:val="22"/>
          <w:szCs w:val="22"/>
        </w:rPr>
        <w:t xml:space="preserve">Le TOTAL des dons confirmés s'affiche sur la page publique des dons ; l'export CSV sert à la comptabilité.</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Les dons soutiennent la banque : ils ne créent ni accès payant ni contrepartie — ne les confondez pas avec les paiements des téléchargements, de la Formation ou de la librairie.</w:t>
      </w:r>
    </w:p>
    <w:p>
      <w:pPr>
        <w:pStyle w:val="Heading1"/>
      </w:pPr>
      <w:bookmarkStart w:name="_Toc67" w:id="67"/>
      <w:r>
        <w:t xml:space="preserve">16.  Compétitions (épreuves chronométrées)</w:t>
      </w:r>
      <w:bookmarkEnd w:id="67"/>
    </w:p>
    <w:p>
      <w:pPr>
        <w:spacing w:after="120"/>
      </w:pPr>
      <w:r>
        <w:rPr>
          <w:sz w:val="22"/>
          <w:szCs w:val="22"/>
        </w:rPr>
        <w:t xml:space="preserve">Le mode compétition transforme les quiz des chants en épreuves chronométrées, ouvertes à tous — avec ou sans compte EduWeb. Vous le pilotez depuis « 🏆 Compétitions (admin) » (permission Éditions) ; la page publique est family.eduweb.ci/competitions.</w:t>
      </w:r>
    </w:p>
    <w:p>
      <w:pPr>
        <w:pStyle w:val="Heading2"/>
      </w:pPr>
      <w:r>
        <w:t xml:space="preserve">Créer et ouvrir une compétition</w:t>
      </w:r>
    </w:p>
    <w:p>
      <w:pPr>
        <w:pStyle w:val="ListParagraph"/>
        <w:numPr>
          <w:ilvl w:val="0"/>
          <w:numId w:val="16"/>
        </w:numPr>
        <w:spacing w:after="40"/>
      </w:pPr>
      <w:r>
        <w:rPr>
          <w:sz w:val="22"/>
          <w:szCs w:val="22"/>
        </w:rPr>
        <w:t xml:space="preserve">« Nouvelle compétition » : titre, présentation, calendrier (début des épreuves et fin, à l'heure d'Abidjan), condition d'engagement volontaire (un règlement standard est proposé).</w:t>
      </w:r>
    </w:p>
    <w:p>
      <w:pPr>
        <w:pStyle w:val="ListParagraph"/>
        <w:numPr>
          <w:ilvl w:val="0"/>
          <w:numId w:val="16"/>
        </w:numPr>
        <w:spacing w:after="40"/>
      </w:pPr>
      <w:r>
        <w:rPr>
          <w:sz w:val="22"/>
          <w:szCs w:val="22"/>
        </w:rPr>
        <w:t xml:space="preserve">ÉPREUVES : cochez les leçons (chants) qui composent la compétition et fixez la DURÉE de chacune en minutes. Toutes les questions de la leçon sont posées (pas de tirage au sort) : chaque compétiteur a les mêmes questions.</w:t>
      </w:r>
    </w:p>
    <w:p>
      <w:pPr>
        <w:pStyle w:val="ListParagraph"/>
        <w:numPr>
          <w:ilvl w:val="0"/>
          <w:numId w:val="16"/>
        </w:numPr>
        <w:spacing w:after="40"/>
      </w:pPr>
      <w:r>
        <w:rPr>
          <w:sz w:val="22"/>
          <w:szCs w:val="22"/>
        </w:rPr>
        <w:t xml:space="preserve">Statut : « Brouillon » (invisible), « Ouverte » (inscriptions possibles ; épreuves accessibles entre le début et la fin), « Terminée » (classement public). Passée la date de fin, la compétition est automatiquement terminée et son classement publié.</w:t>
      </w:r>
    </w:p>
    <w:p>
      <w:pPr>
        <w:pStyle w:val="Heading2"/>
      </w:pPr>
      <w:r>
        <w:t xml:space="preserve">Ce que vit le compétiteur</w:t>
      </w:r>
    </w:p>
    <w:p>
      <w:pPr>
        <w:pStyle w:val="ListParagraph"/>
        <w:numPr>
          <w:ilvl w:val="0"/>
          <w:numId w:val="17"/>
        </w:numPr>
        <w:spacing w:after="40"/>
      </w:pPr>
      <w:r>
        <w:rPr>
          <w:sz w:val="22"/>
          <w:szCs w:val="22"/>
        </w:rPr>
        <w:t xml:space="preserve">Il renseigne son identité (nom, prénoms, genre, classe, établissement, ville, téléphone, e-mail) et VALIDE la condition d'engagement volontaire. L'e-mail est contrôlé automatiquement (domaine capable de recevoir du courrier), puis un CODE à 6 chiffres lui est envoyé : tant qu'il n'est pas saisi, l'inscription n'est pas validée et n'apparaît pas au classement.</w:t>
      </w:r>
    </w:p>
    <w:p>
      <w:pPr>
        <w:pStyle w:val="ListParagraph"/>
        <w:numPr>
          <w:ilvl w:val="0"/>
          <w:numId w:val="17"/>
        </w:numPr>
        <w:spacing w:after="40"/>
      </w:pPr>
      <w:r>
        <w:rPr>
          <w:sz w:val="22"/>
          <w:szCs w:val="22"/>
        </w:rPr>
        <w:t xml:space="preserve">Le chronomètre d'une épreuve démarre à sa première ouverture et ne s'arrête pas ; à la fin du temps, les réponses sont envoyées automatiquement. Une épreuve ne se fait qu'une seule fois. La correction est faite par le serveur (les corrigés ne sont jamais envoyés au navigateur).</w:t>
      </w:r>
    </w:p>
    <w:p>
      <w:pPr>
        <w:pStyle w:val="ListParagraph"/>
        <w:numPr>
          <w:ilvl w:val="0"/>
          <w:numId w:val="17"/>
        </w:numPr>
        <w:spacing w:after="40"/>
      </w:pPr>
      <w:r>
        <w:rPr>
          <w:sz w:val="22"/>
          <w:szCs w:val="22"/>
        </w:rPr>
        <w:t xml:space="preserve">Classement : par points, puis nombre d'épreuves terminées, puis temps total (les ex æquo partagent le rang). Il est publié automatiquement à la fin ; le compétiteur y voit sa ligne mise en évidence.</w:t>
      </w:r>
    </w:p>
    <w:p>
      <w:pPr>
        <w:pStyle w:val="Heading2"/>
      </w:pPr>
      <w:r>
        <w:t xml:space="preserve">Suivre et exporter</w:t>
      </w:r>
    </w:p>
    <w:p>
      <w:pPr>
        <w:pStyle w:val="ListParagraph"/>
        <w:numPr>
          <w:ilvl w:val="0"/>
          <w:numId w:val="18"/>
        </w:numPr>
        <w:spacing w:after="40"/>
      </w:pPr>
      <w:r>
        <w:rPr>
          <w:sz w:val="22"/>
          <w:szCs w:val="22"/>
        </w:rPr>
        <w:t xml:space="preserve">« Résultats » : classement provisoire (avant la fin) ou final, coordonnées complètes, résultat et temps par épreuve, inscriptions non validées ; vous pouvez retirer une inscription de test.</w:t>
      </w:r>
    </w:p>
    <w:p>
      <w:pPr>
        <w:pStyle w:val="ListParagraph"/>
        <w:numPr>
          <w:ilvl w:val="0"/>
          <w:numId w:val="18"/>
        </w:numPr>
        <w:spacing w:after="40"/>
      </w:pPr>
      <w:r>
        <w:rPr>
          <w:sz w:val="22"/>
          <w:szCs w:val="22"/>
        </w:rPr>
        <w:t xml:space="preserve">« ⬇️ Résultats Excel » : fichier .xlsx à trois feuilles (Classement avec toutes les coordonnées et le détail par épreuve, Non validés, Compétition). La page publique n'affiche jamais les téléphones ni les e-mails.</w:t>
      </w:r>
    </w:p>
    <w:p>
      <w:pPr>
        <w:pBdr>
          <w:top w:val="single" w:color="E8F5EC" w:sz="2" w:space="6"/>
          <w:left w:val="single" w:color="1E9E57" w:sz="18" w:space="10"/>
          <w:bottom w:val="single" w:color="E8F5EC" w:sz="2" w:space="6"/>
          <w:right w:val="single" w:color="E8F5EC" w:sz="2" w:space="6"/>
        </w:pBdr>
        <w:shd w:fill="E8F5EC" w:color="auto" w:val="clear"/>
        <w:spacing w:after="140" w:before="80"/>
      </w:pPr>
      <w:r>
        <w:rPr>
          <w:b/>
          <w:bCs/>
          <w:color w:val="1E9E57"/>
          <w:sz w:val="21"/>
          <w:szCs w:val="21"/>
        </w:rPr>
        <w:t xml:space="preserve">À noter — </w:t>
      </w:r>
      <w:r>
        <w:rPr>
          <w:color w:val="1A3A28"/>
          <w:sz w:val="21"/>
          <w:szCs w:val="21"/>
        </w:rPr>
        <w:t xml:space="preserve">Les e-mails de code partent via le service d'envoi de la plateforme (Resend) : vérifiez-le dans Réglages → Diagnostic e-mail avant d'ouvrir une compétition.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color w:val="999999"/>
        <w:sz w:val="16"/>
        <w:szCs w:val="16"/>
      </w:rPr>
      <w:t xml:space="preserve">EduWeb — Guide Admin</w:t>
    </w:r>
    <w:r>
      <w:rPr>
        <w:color w:val="999999"/>
        <w:sz w:val="16"/>
        <w:szCs w:val="16"/>
      </w:rPr>
      <w:t xml:space="preserve">	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 xml:space="preserve">NUMPAGES</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9E57" w:sz="8" w:space="4"/>
      </w:pBdr>
      <w:spacing w:after="160" w:before="340"/>
      <w:outlineLvl w:val="0"/>
    </w:pPr>
    <w:rPr>
      <w:rFonts w:ascii="Arial" w:cs="Arial" w:eastAsia="Arial" w:hAnsi="Arial"/>
      <w:b/>
      <w:bCs/>
      <w:color w:val="0E6B3A"/>
      <w:sz w:val="30"/>
      <w:szCs w:val="30"/>
    </w:rPr>
  </w:style>
  <w:style w:type="paragraph" w:styleId="Heading2">
    <w:name w:val="Heading 2"/>
    <w:basedOn w:val="Normal"/>
    <w:next w:val="Normal"/>
    <w:qFormat/>
    <w:pPr>
      <w:spacing w:after="80" w:before="160"/>
      <w:outlineLvl w:val="1"/>
    </w:pPr>
    <w:rPr>
      <w:rFonts w:ascii="Arial" w:cs="Arial" w:eastAsia="Arial" w:hAnsi="Arial"/>
      <w:b/>
      <w:bCs/>
      <w:color w:val="1E9E5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2026-10-17T15:29:22.643Z</dcterms:created>
  <dcterms:modified xsi:type="dcterms:W3CDTF">2026-10-17T15:29:22.643Z</dcterms:modified>
</cp:coreProperties>
</file>

<file path=docProps/custom.xml><?xml version="1.0" encoding="utf-8"?>
<Properties xmlns="http://schemas.openxmlformats.org/officeDocument/2006/custom-properties" xmlns:vt="http://schemas.openxmlformats.org/officeDocument/2006/docPropsVTypes"/>
</file>