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 et/ou Finances. Ce guide décrit les tâches courantes, dont la recherche et la modification du profil d'un coach.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tableau de bord présente des statistiques en temps réel et des cartes interactives.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Trois permissions possibles : Gestion des utilisateurs, Validation des coachs, Finances &amp; statistiques. Vous ne voyez que les espaces correspondant à vos permissions.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Liste filtrable (parents, coachs, admins) avec recherche par nom ou email.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Créer un utilisateur (activé immédiatement), changer son rôle, le suspendre/réactiver, ou le supprimer (avec ses données liées).</w:t>
      </w:r>
    </w:p>
    <w:p>
      <w:pPr>
        <w:pStyle w:val="Heading2"/>
      </w:pPr>
      <w:r>
        <w:t xml:space="preserve">Actions par lot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appliquez une action groupée : Réactiver, Suspendre ou Supprimer. Vous ne pouvez pas agir sur votre propre compte.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la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le profil complet du coach en mode administrateur — vous pouvez mettre à jour ses 6 sections (identité, zone, compétences, disciplines &amp; tarifs, documents, présentation), sa photo et la priorité de ses disciplines, au nom du coach.</w:t>
      </w:r>
    </w:p>
    <w:p>
      <w:pPr>
        <w:pStyle w:val="Heading2"/>
      </w:pPr>
      <w:r>
        <w:t xml:space="preserve">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Valider le profil, ou Refuser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Certifier (ou retirer la certification d') un coach.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cliquez « Refuser la sélection » pour refuser tous les coachs cochés en une seule action, avec le même motif. Pratique lorsque plusieurs candidatures sont refusées pour la même raison (ex.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Commissions présente le récapitulatif des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Marquez une commission « payée », ou réglez en une fois toutes celles d'un parrain, avant le versement réel via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Les utilisateurs écrivent au « Support ».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modifiez votre mot de passe. Conservez vos identifiants en lieu sûr.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2026-07-19T10:40:04.838Z</dcterms:created>
  <dcterms:modified xsi:type="dcterms:W3CDTF">2026-07-19T10:40:04.838Z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