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19 juillet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 sans restriction (voir le Guide Admin) : utilisateurs, coachs, finances.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en particulier rechercher n'importe quel coach (bouton « Coachs ») et consulter ou modifier son profil complet en mode administrateur.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Validation des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disposez en plus de la gestion des administrateurs et des paramètres de la plateforme.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 email existant, avec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les permissions d'un administrateur, ou révoquez-le (il redevient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N'accordez que les permissions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réglez le délai de conservation (1 à 365 jours ; 30 par défaut) et l'heure de purge (UTC).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Utilisez « Lancer la purge maintenant » pour exécuter immédiatement le nettoyage ; la date de dernière purge est indiquée.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est déclenchée chaque jour par une tâche planifiée (Vercel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destinataire « Support » de la messagerie : il reçoit les messages que les utilisateurs adressent au support.</w:t>
      </w:r>
    </w:p>
    <w:p>
      <w:pPr>
        <w:pStyle w:val="Heading1"/>
      </w:pPr>
      <w:r>
        <w:t xml:space="preserve">9.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Sécurisez tout particulièrement le compte super-administrateur.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 et les profils coachs en attente de validation.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Attribuez les rôles d'administration avec parcimonie.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2026-07-19T10:40:04.974Z</dcterms:created>
  <dcterms:modified xsi:type="dcterms:W3CDTF">2026-07-19T10:40:04.974Z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