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Admin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Pilotez la plateforme selon vos permissions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9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L'administrateur pilote la plateforme selon les permissions accordées par le super-administrateur : Gestion des utilisateurs, Validation des coachs, Finances &amp; statistiques et/ou Formation &amp; tests psychotechniques. Ce guide décrit les tâches courantes : gestion des coachs et des utilisateurs, vérification des paiements de la Formation, codes promo, rétrocessions de parrainage et pilotage financier.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Connexion et tableau de bord</w:t>
      </w:r>
    </w:p>
    <w:p>
      <w:pPr>
        <w:spacing w:after="120"/>
      </w:pPr>
      <w:r>
        <w:rPr>
          <w:sz w:val="22"/>
          <w:szCs w:val="22"/>
        </w:rPr>
        <w:t xml:space="preserve">Une fois connecté, votre tableau de bord donne une vue d'ensemble de la plateforme.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présente des statistiques en temps réel et des cartes cliquables.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Quatre permissions existent : Gestion des utilisateurs, Validation des coachs, Finances &amp; statistiques, et Formation &amp; tests psychotechniques. Vous ne voyez que les espaces correspondant aux permissions qui vous ont été accordées.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Gestion des utilisateurs</w:t>
      </w:r>
    </w:p>
    <w:p>
      <w:pPr>
        <w:spacing w:after="120"/>
      </w:pPr>
      <w:r>
        <w:rPr>
          <w:sz w:val="22"/>
          <w:szCs w:val="22"/>
        </w:rPr>
        <w:t xml:space="preserve">Permission requise : « Gestion des utilisateurs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liste se filtre par rôle (parents, coachs, admins) et se recherche par nom ou e-mail.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Pour chaque personne, vous pouvez : créer un compte (activé aussitôt), changer son rôle, la suspendre ou la réactiver, ou la supprimer (avec ses données liées).</w:t>
      </w:r>
    </w:p>
    <w:p>
      <w:pPr>
        <w:pStyle w:val="Heading2"/>
      </w:pPr>
      <w:r>
        <w:t xml:space="preserve">Actions par lot (plusieurs à la fois)</w:t>
      </w:r>
    </w:p>
    <w:p>
      <w:pPr>
        <w:spacing w:after="120"/>
      </w:pPr>
      <w:r>
        <w:rPr>
          <w:sz w:val="22"/>
          <w:szCs w:val="22"/>
        </w:rPr>
        <w:t xml:space="preserve">Cochez plusieurs comptes (ou « tout sélectionner »), puis choisissez l'action groupée : Réactiver, Suspendre ou Supprimer. Vous ne pouvez pas agir sur votre propre compte.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préparer un compte « tout prêt » à remettre à quelqu'un, utilisez « Créer un utilisateur » : vous pouvez générer un mot de passe et afficher les identifiants à copier (ou les envoyer par e-mail).</w:t>
      </w:r>
    </w:p>
    <w:p>
      <w:pPr>
        <w:pStyle w:val="Heading1"/>
      </w:pPr>
      <w:r>
        <w:t xml:space="preserve">7.  Coachs : rechercher, consulter, modifier</w:t>
      </w:r>
    </w:p>
    <w:p>
      <w:pPr>
        <w:spacing w:after="120"/>
      </w:pPr>
      <w:r>
        <w:rPr>
          <w:sz w:val="22"/>
          <w:szCs w:val="22"/>
        </w:rPr>
        <w:t xml:space="preserve">Permission requise : « Validation des coachs ». Le bouton « Coachs » du tableau de bord ouvre la recherche.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Recherchez un coach par nom ou e-mail ; chaque résultat indique son statut et sa certification.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Consulter : ouvre sa fiche d'examen (identité, zone, compétences, disciplines, documents).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Modifier : ouvre son profil complet en mode administrateur — vous pouvez mettre à jour ses 6 parties, sa photo et la priorité de ses disciplines, en son nom.</w:t>
      </w:r>
    </w:p>
    <w:p>
      <w:pPr>
        <w:pStyle w:val="Heading2"/>
      </w:pPr>
      <w:r>
        <w:t xml:space="preserve">Valider ou refuser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Depuis la fiche d'examen : « Valider » le profil, ou « Refuser » avec un motif (au moins 10 caractères).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aussi « Certifier » un coach, ou lui retirer sa certification.</w:t>
      </w:r>
    </w:p>
    <w:p>
      <w:pPr>
        <w:pStyle w:val="Heading2"/>
      </w:pPr>
      <w:r>
        <w:t xml:space="preserve">Refus groupé (au même motif)</w:t>
      </w:r>
    </w:p>
    <w:p>
      <w:pPr>
        <w:spacing w:after="120"/>
      </w:pPr>
      <w:r>
        <w:rPr>
          <w:sz w:val="22"/>
          <w:szCs w:val="22"/>
        </w:rPr>
        <w:t xml:space="preserve">Sur le tableau de bord, dans la liste « Coachs en attente de validation », cochez plusieurs coachs (ou « tout sélectionner »). Une barre apparaît : saisissez un motif commun (au moins 10 caractères) et appuyez sur « Refuser la sélection ». Tous les coachs cochés sont refusés d'un coup, avec le même motif — pratique quand la raison est identique (par exemple un dossier incomplet).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tarifs et prétentions des coachs ne sont visibles que par l'administration.</w:t>
      </w:r>
    </w:p>
    <w:p>
      <w:pPr>
        <w:pStyle w:val="Heading1"/>
      </w:pPr>
      <w:r>
        <w:t xml:space="preserve">8.  Finances &amp; commissions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page « Commissions » récapitule les commissions à payer, regroupées par parrain.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marquer une commission « payée », ou régler d'un coup toutes celles d'un parrain — avant d'effectuer le versement réel par Mobile Money.</w:t>
      </w:r>
    </w:p>
    <w:p>
      <w:pPr>
        <w:pStyle w:val="Heading1"/>
      </w:pPr>
      <w:r>
        <w:t xml:space="preserve">9.  Messagerie</w:t>
      </w:r>
    </w:p>
    <w:p>
      <w:pPr>
        <w:spacing w:after="120"/>
      </w:pPr>
      <w:r>
        <w:rPr>
          <w:sz w:val="22"/>
          <w:szCs w:val="22"/>
        </w:rPr>
        <w:t xml:space="preserve">L'administrateur peut échanger avec tous les utilisateurs. De leur côté, les utilisateurs écrivent au « Support », et leurs messages vous parviennent.</w:t>
      </w:r>
    </w:p>
    <w:p>
      <w:pPr>
        <w:pStyle w:val="Heading1"/>
      </w:pPr>
      <w:r>
        <w:t xml:space="preserve">10.  Votre compte</w:t>
      </w:r>
    </w:p>
    <w:p>
      <w:pPr>
        <w:spacing w:after="120"/>
      </w:pPr>
      <w:r>
        <w:rPr>
          <w:sz w:val="22"/>
          <w:szCs w:val="22"/>
        </w:rPr>
        <w:t xml:space="preserve">Depuis « Mon compte », vous pouvez modifier votre mot de passe. Conservez vos identifiants en lieu sûr et ne les partagez avec personne.</w:t>
      </w:r>
    </w:p>
    <w:p>
      <w:pPr>
        <w:pStyle w:val="Heading1"/>
      </w:pPr>
      <w:r>
        <w:t xml:space="preserve">11.  Formation : formules, paiements et accès</w:t>
      </w:r>
    </w:p>
    <w:p>
      <w:pPr>
        <w:spacing w:after="120"/>
      </w:pPr>
      <w:r>
        <w:rPr>
          <w:sz w:val="22"/>
          <w:szCs w:val="22"/>
        </w:rPr>
        <w:t xml:space="preserve">Permission requise : « Formation &amp; tests psychotechniques ». L'écran « Inscriptions Formation » (menu de votre photo) est votre poste de pilotage.</w:t>
      </w:r>
    </w:p>
    <w:p>
      <w:pPr>
        <w:pStyle w:val="Heading2"/>
      </w:pPr>
      <w:r>
        <w:t xml:space="preserve">Créer les formules (les tarifs)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Dans « Formules d'accès (tarifs) », remplissez : le nom (ex. « Pack Concours »), le prix en FCFA, la durée en jours (vide = illimitée), le quota de tests (vide = illimité) et l'ordre d'affichage (1 = en premier dans les listes).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« Enregistrer la formule ». Elle apparaît aussitôt sur la page publique Formation.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« Désactiver » retire une formule de la vente sans toucher aux accès déjà validés.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Tant qu'aucune formule active n'existe, les candidats ne peuvent demander qu'une autorisation gratuite.</w:t>
      </w:r>
    </w:p>
    <w:p>
      <w:pPr>
        <w:pStyle w:val="Heading2"/>
      </w:pPr>
      <w:r>
        <w:t xml:space="preserve">Vérifier un paiement déclaré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Chaque demande « 💳 Paiement déclaré » affiche : la formule, le MONTANT ATTENDU (après réduction éventuelle), l'opérateur et la référence de transaction saisie par le candidat.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Ouvrez votre relevé Mobile Money et vérifiez que ce montant est bien arrivé avec cette référence.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Argent reçu → « Paiement reçu, activer » : l'accès s'ouvre (avec sa durée), le candidat est prévenu par e-mail — et si un parrain est concerné, sa rétrocession est créditée automatiquement.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Rien reçu ou référence fausse → « Refuser » avec un motif : le candidat peut corriger et re-déclarer.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Ne validez JAMAIS sans avoir vu l'argent sur le relevé : la validation crédite définitivement l'accès et, le cas échéant, la rétrocession du parrain.</w:t>
      </w:r>
    </w:p>
    <w:p>
      <w:pPr>
        <w:pStyle w:val="Heading2"/>
      </w:pPr>
      <w:r>
        <w:t xml:space="preserve">Autoriser gratuitement / révoquer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Autoriser un utilisateur » : saisissez son e-mail et une durée éventuelle — accès immédiat sans paiement (partenariats, boursiers…).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accès validé ne se retire pas par « Refuser » : utilisez « Rembourser » dans Finance &amp; parrainage (la rétrocession du parrain est alors contre-passée proprement).</w:t>
      </w:r>
    </w:p>
    <w:p>
      <w:pPr>
        <w:pStyle w:val="Heading1"/>
      </w:pPr>
      <w:r>
        <w:t xml:space="preserve">12.  Codes promo &amp; liens promo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 L'écran « Codes promo » crée des réductions et leurs liens partageables.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Créez un code : nom (ex. CONCOURS2026), réduction en %, nombre d'utilisations maximum et date d'expiration (facultatifs).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Chaque code a son LIEN PROMO (ex. family.eduweb.ci/formation?promo=CONCOURS2026) : la page Formation affiche la réduction et pré-remplit le code pour le candidat. Boutons « Copier » et « WhatsApp » intégrés.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Le compteur d'utilisations se met à jour automatiquement ; « Désactiver » stoppe un code à tout moment.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Code promo et réduction parrainage ne se cumulent pas : la plus avantageuse s'applique automatiquement.</w:t>
      </w:r>
    </w:p>
    <w:p>
      <w:pPr>
        <w:pStyle w:val="Heading1"/>
      </w:pPr>
      <w:r>
        <w:t xml:space="preserve">13.  Finance &amp; parrainage : rétrocessions, versements, antifraude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 L'écran « Finance &amp; parrainage » pilote l'économie de la Formation.</w:t>
      </w:r>
    </w:p>
    <w:p>
      <w:pPr>
        <w:pStyle w:val="Heading2"/>
      </w:pPr>
      <w:r>
        <w:t xml:space="preserve">Les indicateurs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RAR (Revenu Après Réductions et Rétrocessions) : l'indicateur central. Le feu 🟢/🟠/🔴 compare le RAR moyen par abonné à la cible (8 500 FCFA par défaut).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Aussi : CA facial, encaissements, réductions accordées, rétrocessions dues et versées, engagements restants, coût d'acquisition, coefficient de viralité 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Des graphiques d'évolution se remplissent jour après jour ; exports CSV et impression disponibles.</w:t>
      </w:r>
    </w:p>
    <w:p>
      <w:pPr>
        <w:pStyle w:val="Heading2"/>
      </w:pPr>
      <w:r>
        <w:t xml:space="preserve">Verser les rétrocessions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« Versements à traiter » liste les demandes des parrains : montant, moyen (Wave, Orange…), numéro bénéficiaire.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Envoyez l'argent par Mobile Money, PUIS saisissez la référence du transfert et « Versé ✓ ».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Problème ? « Échec ✗ » avec un motif : le montant est automatiquement recrédité au parrain.</w:t>
      </w:r>
    </w:p>
    <w:p>
      <w:pPr>
        <w:pStyle w:val="Heading2"/>
      </w:pPr>
      <w:r>
        <w:t xml:space="preserve">Antifraude et remboursements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Signaux antifraude » : le système détecte les situations suspectes (même référence déclarée deux fois, même numéro de versement sur plusieurs comptes, rythme anormal…). C'est VOUS qui décidez : RAS, Suspect, ou Bloquer (les gains et versements du compte sont alors suspendus).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Rembourser » un abonnement : l'accès est révoqué et la rétrocession du parrain contre-passée — l'historique comptable reste intact (aucune écriture n'est jamais effacée).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simulateur de rentabilité vous permet de tester des scénarios (1 000 à 100 000 abonnés) avant de changer les tarifs.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Admin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2026-08-09T16:38:34.749Z</dcterms:created>
  <dcterms:modified xsi:type="dcterms:W3CDTF">2026-08-09T16:38:34.749Z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