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Vos pouvoirs</w:t>
      </w:r>
    </w:p>
    <w:p>
      <w:pPr>
        <w:spacing w:after="120"/>
      </w:pPr>
      <w:r>
        <w:rPr>
          <w:sz w:val="22"/>
          <w:szCs w:val="22"/>
        </w:rPr>
        <w:t xml:space="preserve">En tant que super-administrateur, vous avez tous les droits. En clair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d'administration, sans restriction de permission (voir le Guide Admin) : utilisateurs, coachs, finances, Formation (formules, paiements, codes promo, rétrocessions).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notamment rechercher n'importe quel coach (bouton « Coachs ») et consulter ou modifier son profil complet en son nom.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validez les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En plus, deux fonctions vous sont réservées : la gestion des administrateurs et les paramètres de la plateforme (détaillées ci-dessous).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les administrateurs</w:t>
      </w:r>
    </w:p>
    <w:p>
      <w:pPr>
        <w:spacing w:after="120"/>
      </w:pPr>
      <w:r>
        <w:rPr>
          <w:sz w:val="22"/>
          <w:szCs w:val="22"/>
        </w:rPr>
        <w:t xml:space="preserve">Un « administrateur » est une personne à qui vous confiez une partie de la gestion. 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d'une adresse e-mail déjà inscrite, en lui donnant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ses permissions à tout moment, ou révoquez-le (il redevient alors un simple parent).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Par prudence, n'accordez que les permissions réellement nécessaires.</w:t>
      </w:r>
    </w:p>
    <w:p>
      <w:pPr>
        <w:pStyle w:val="Heading1"/>
      </w:pPr>
      <w:r>
        <w:t xml:space="preserve">7. 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», vous réglez le fonctionnement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choisissez le délai de conservation (de 1 à 365 jours ; 30 par défaut) et l'heure de la purge (en 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Lancer la purge maintenant » exécute le nettoyage immédiatement ; la date de la dernière purge est affichée.</w:t>
      </w:r>
    </w:p>
    <w:p>
      <w:pPr>
        <w:spacing w:after="120"/>
      </w:pPr>
      <w:r>
        <w:rPr>
          <w:sz w:val="22"/>
          <w:szCs w:val="22"/>
        </w:rPr>
        <w:t xml:space="preserve">C'est aussi ici que se trouve le « Diagnostic e-mail », pour tester l'envoi des e-mails et voir l'expéditeur réellement utilisé.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se déclenche aussi automatiquement chaque jour (tâche planifiée Vercel Cron).</w:t>
      </w:r>
    </w:p>
    <w:p>
      <w:pPr>
        <w:pStyle w:val="Heading1"/>
      </w:pPr>
      <w:r>
        <w:t xml:space="preserve">8. 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« Support » de la plateforme : c'est vous qui recevez les messages que les utilisateurs adressent au support depuis leur messagerie.</w:t>
      </w:r>
    </w:p>
    <w:p>
      <w:pPr>
        <w:pStyle w:val="Heading1"/>
      </w:pPr>
      <w:r>
        <w:t xml:space="preserve">9.  Politique commerciale de la Formation (parrainage)</w:t>
      </w:r>
    </w:p>
    <w:p>
      <w:pPr>
        <w:spacing w:after="120"/>
      </w:pPr>
      <w:r>
        <w:rPr>
          <w:sz w:val="22"/>
          <w:szCs w:val="22"/>
        </w:rPr>
        <w:t xml:space="preserve">Le moteur d'abonnement de la Formation (réductions filleuls, rétrocessions, plancher) obéit à une « politique commerciale » que vous pilotez depuis « Finance &amp; parrainage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Paramètres : tarif facial de référence, % de réduction des premiers filleuls, % de rétrocession du parrain, nombre de places promotionnelles, plancher du coût net (3 000 FCFA par défaut), versement minimum, plafonds de versement, cible du RAR moyen.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enregistrement crée une NOUVELLE VERSION : les transactions passées ne sont jamais recalculées — c'est la garantie d'un historique financier fiable.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permission « Formation &amp; tests psychotechniques » s'attribue comme les autres, depuis « Administrateurs » : elle donne accès à la gestion des formules et à la validation des paiements.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Changer les taux ou le plancher modifie l'économie du programme pour les NOUVEAUX abonnements uniquement. Utilisez le simulateur (en bas de « Finance &amp; parrainage ») pour mesurer l'effet d'un changement avant de l'appliquer.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Protégez tout particulièrement le compte super-administrateur : mot de passe solide, jamais partagé.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payer, les coachs en attente de validation, les paiements Formation déclarés et les demandes de versement des parrains.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Gardez un œil sur le feu du RAR moyen (🟢/🟠/🔴) et sur les signaux antifraude : les seuils sont configurables dans la politique commerciale.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N'attribuez les rôles d'administration qu'avec parcimonie, et à des personnes de confiance.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2026-08-09T16:38:34.857Z</dcterms:created>
  <dcterms:modified xsi:type="dcterms:W3CDTF">2026-08-09T16:38:34.857Z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