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16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coachs, Finances &amp; statistiques et/ou Formation &amp; tests psychotechniques. Ce guide décrit les tâches courantes : gestion des coachs et des utilisateurs, vérification des paiements de la Formation, codes promo, rétrocessions de parrainage et pilotage financier.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Quatre permissions existent : Gestion des utilisateurs, Validation des coachs, Finances &amp; statistiques, et Formation &amp; tests psychotechniques.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p>
      <w:pPr>
        <w:pStyle w:val="Heading1"/>
      </w:pPr>
      <w:r>
        <w:t xml:space="preserve">11.  Formation : formules, paiements et accès</w:t>
      </w:r>
    </w:p>
    <w:p>
      <w:pPr>
        <w:spacing w:after="120"/>
      </w:pPr>
      <w:r>
        <w:rPr>
          <w:sz w:val="22"/>
          <w:szCs w:val="22"/>
        </w:rPr>
        <w:t xml:space="preserve">Permission requise : « Formation &amp; tests psychotechniques ». L'écran « Inscriptions Formation » (menu de votre photo) est votre poste de pilotage.</w:t>
      </w:r>
    </w:p>
    <w:p>
      <w:pPr>
        <w:pStyle w:val="Heading2"/>
      </w:pPr>
      <w:r>
        <w:t xml:space="preserve">Créer les formules (les tarifs)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Dans « Formules d'accès (tarifs) », remplissez : le nom (ex. « Pack Concours »), le prix en FCFA, la durée en jours (vide = illimitée), le quota de tests (vide = illimité) et l'ordre d'affichage (1 = en premier dans les listes).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Enregistrer la formule ». Elle apparaît aussitôt sur la page publique Formation.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Désactiver » retire une formule de la vente sans toucher aux accès déjà validés.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Tant qu'aucune formule active n'existe, les candidats ne peuvent demander qu'une autorisation gratuite.</w:t>
      </w:r>
    </w:p>
    <w:p>
      <w:pPr>
        <w:pStyle w:val="Heading2"/>
      </w:pPr>
      <w:r>
        <w:t xml:space="preserve">Vérifier un paiement déclaré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Chaque demande « 💳 Paiement déclaré » affiche : la formule, le MONTANT ATTENDU (après réduction éventuelle), l'opérateur et la référence de transaction saisie par le candidat.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votre relevé Mobile Money et vérifiez que ce montant est bien arrivé avec cette référence.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Argent reçu → « Paiement reçu, activer » : l'accès s'ouvre (avec sa durée), le candidat est prévenu par e-mail — et si un parrain est concerné, sa rétrocession est créditée automatiquement.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Rien reçu ou référence fausse → « Refuser » avec un motif : le candidat peut corriger et re-déclarer.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Ne validez JAMAIS sans avoir vu l'argent sur le relevé : la validation crédite définitivement l'accès et, le cas échéant, la rétrocession du parrain.</w:t>
      </w:r>
    </w:p>
    <w:p>
      <w:pPr>
        <w:pStyle w:val="Heading2"/>
      </w:pPr>
      <w:r>
        <w:t xml:space="preserve">Autoriser gratuitement / révoquer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Autoriser un utilisateur » : saisissez son e-mail et une durée éventuelle — accès immédiat sans paiement (partenariats, boursiers…).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accès validé ne se retire pas par « Refuser » : utilisez « Rembourser » dans Finance &amp; parrainage (la rétrocession du parrain est alors contre-passée proprement).</w:t>
      </w:r>
    </w:p>
    <w:p>
      <w:pPr>
        <w:pStyle w:val="Heading1"/>
      </w:pPr>
      <w:r>
        <w:t xml:space="preserve">12.  Codes promo &amp; liens promo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Codes promo » crée des réductions et leurs liens partageables.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Créez un code : nom (ex. CONCOURS2026), réduction en %, nombre d'utilisations maximum et date d'expiration (facultatifs).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Chaque code a son LIEN PROMO (ex. family.eduweb.ci/formation?promo=CONCOURS2026) : la page Formation affiche la réduction et pré-remplit le code pour le candidat. Boutons « Copier » et « WhatsApp » intégrés.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Le compteur d'utilisations se met à jour automatiquement ; « Désactiver » stoppe un code à tout moment.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et réduction parrainage ne se cumulent pas : la plus avantageuse s'applique automatiquement.</w:t>
      </w:r>
    </w:p>
    <w:p>
      <w:pPr>
        <w:pStyle w:val="Heading1"/>
      </w:pPr>
      <w:r>
        <w:t xml:space="preserve">13.  Finance &amp; parrainage : rétrocessions, versements, antifraude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Finance &amp; parrainage » pilote l'économie de la Formation.</w:t>
      </w:r>
    </w:p>
    <w:p>
      <w:pPr>
        <w:pStyle w:val="Heading2"/>
      </w:pPr>
      <w:r>
        <w:t xml:space="preserve">Les indicateurs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RAR (Revenu Après Réductions et Rétrocessions) : l'indicateur central. Le feu 🟢/🟠/🔴 compare le RAR moyen par abonné à la cible (8 500 FCFA par défaut).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Aussi : CA facial, encaissements, réductions accordées, rétrocessions dues et versées, engagements restants, coût d'acquisition, coefficient de viralité 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Des graphiques d'évolution se remplissent jour après jour ; exports CSV et impression disponibles.</w:t>
      </w:r>
    </w:p>
    <w:p>
      <w:pPr>
        <w:pStyle w:val="Heading2"/>
      </w:pPr>
      <w:r>
        <w:t xml:space="preserve">Verser les rétrocessions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« Versements à traiter » liste les demandes des parrains : montant, moyen (Wave, Orange…), numéro bénéficiaire.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Envoyez l'argent par Mobile Money, PUIS saisissez la référence du transfert et « Versé ✓ ».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Problème ? « Échec ✗ » avec un motif : le montant est automatiquement recrédité au parrain.</w:t>
      </w:r>
    </w:p>
    <w:p>
      <w:pPr>
        <w:pStyle w:val="Heading2"/>
      </w:pPr>
      <w:r>
        <w:t xml:space="preserve">Antifraude et remboursements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Signaux antifraude » : le système détecte les situations suspectes (même référence déclarée deux fois, même numéro de versement sur plusieurs comptes, rythme anormal…). C'est VOUS qui décidez : RAS, Suspect, ou Bloquer (les gains et versements du compte sont alors suspendus).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Rembourser » un abonnement : l'accès est révoqué et la rétrocession du parrain contre-passée — l'historique comptable reste intact (aucune écriture n'est jamais effacée).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simulateur de rentabilité vous permet de tester des scénarios (1 000 à 100 000 abonnés) avant de changer les tarifs.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2026-08-16T15:51:07.114Z</dcterms:created>
  <dcterms:modified xsi:type="dcterms:W3CDTF">2026-08-16T15:51:07.114Z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