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b/>
          <w:bCs/>
          <w:color w:val="0E6B3A"/>
          <w:sz w:val="56"/>
          <w:szCs w:val="56"/>
        </w:rPr>
        <w:t xml:space="preserve">EduWeb</w:t>
      </w:r>
    </w:p>
    <w:p>
      <w:pPr>
        <w:spacing w:after="200"/>
        <w:jc w:val="center"/>
      </w:pPr>
      <w:r>
        <w:rPr>
          <w:color w:val="1E9E57"/>
          <w:sz w:val="16"/>
          <w:szCs w:val="16"/>
        </w:rPr>
        <w:t xml:space="preserve">FAMILY &amp; COACHING</w:t>
      </w:r>
    </w:p>
    <w:p>
      <w:pPr>
        <w:spacing w:after="40"/>
        <w:jc w:val="center"/>
      </w:pPr>
      <w:r>
        <w:rPr>
          <w:color w:val="555555"/>
          <w:sz w:val="26"/>
          <w:szCs w:val="26"/>
        </w:rPr>
        <w:t xml:space="preserve">Guide de l'utilisateur</w:t>
      </w:r>
    </w:p>
    <w:p>
      <w:pPr>
        <w:spacing w:after="60"/>
        <w:jc w:val="center"/>
      </w:pPr>
      <w:r>
        <w:rPr>
          <w:b/>
          <w:bCs/>
          <w:color w:val="0E6B3A"/>
          <w:sz w:val="44"/>
          <w:szCs w:val="44"/>
        </w:rPr>
        <w:t xml:space="preserve">Super-Admin</w:t>
      </w:r>
    </w:p>
    <w:p>
      <w:pPr>
        <w:spacing w:after="40"/>
        <w:jc w:val="center"/>
      </w:pPr>
      <w:r>
        <w:rPr>
          <w:i/>
          <w:iCs/>
          <w:color w:val="666666"/>
          <w:sz w:val="22"/>
          <w:szCs w:val="22"/>
        </w:rPr>
        <w:t xml:space="preserve">Gouvernance de la plateforme : administrateurs et paramètres</w:t>
      </w:r>
    </w:p>
    <w:p>
      <w:pPr>
        <w:pBdr>
          <w:bottom w:val="single" w:color="1E9E57" w:sz="6" w:space="8"/>
        </w:pBdr>
        <w:spacing w:after="160"/>
        <w:jc w:val="center"/>
      </w:pPr>
      <w:r>
        <w:rPr>
          <w:color w:val="999999"/>
          <w:sz w:val="16"/>
          <w:szCs w:val="16"/>
        </w:rPr>
        <w:t xml:space="preserve">Version du 12 juin 2026</w:t>
      </w:r>
    </w:p>
    <w:p>
      <w:pPr>
        <w:spacing w:after="200"/>
      </w:pPr>
      <w:r>
        <w:rPr>
          <w:sz w:val="22"/>
          <w:szCs w:val="22"/>
        </w:rPr>
        <w:t xml:space="preserve">Le super-administrateur dispose de tous les pouvoirs d'un administrateur, sans restriction de permission, et de deux fonctions exclusives : la gestion des administrateurs et les paramètres de la plateforme. Il est aussi le destinataire du Support.</w:t>
      </w:r>
    </w:p>
    <w:p>
      <w:pPr>
        <w:pStyle w:val="Heading1"/>
      </w:pPr>
      <w:r>
        <w:t xml:space="preserve">1. Vos pouvoirs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accédez à toutes les fonctions d'administration sans restriction (voir le Guide Admin) : utilisateurs, validation des coachs, finances et commissions.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disposez en plus de la gestion des administrateurs et des paramètres de la plateforme.</w:t>
      </w:r>
    </w:p>
    <w:p>
      <w:pPr>
        <w:pStyle w:val="Heading1"/>
      </w:pPr>
      <w:r>
        <w:t xml:space="preserve">2. Gérer les administrateurs</w:t>
      </w:r>
    </w:p>
    <w:p>
      <w:pPr>
        <w:spacing w:after="120"/>
      </w:pPr>
      <w:r>
        <w:rPr>
          <w:sz w:val="22"/>
          <w:szCs w:val="22"/>
        </w:rPr>
        <w:t xml:space="preserve">Depuis « Administrateurs »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Nommez un administrateur à partir d'un email existant, en lui attribuant des permissions précises (Utilisateurs, Coachs, Finances).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Modifiez les permissions d'un administrateur à tout moment.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Révoquez un administrateur : il redevient parent.</w:t>
      </w:r>
    </w:p>
    <w:p>
      <w:pPr>
        <w:pBdr>
          <w:top w:val="single" w:color="B8DCC6" w:sz="2" w:space="6"/>
          <w:bottom w:val="single" w:color="B8DCC6" w:sz="2" w:space="6"/>
          <w:left w:val="single" w:color="1E9E57" w:sz="18" w:space="10"/>
          <w:right w:val="single" w:color="B8DCC6" w:sz="2" w:space="6"/>
        </w:pBdr>
        <w:shd w:fill="E8F5EC" w:val="clear"/>
        <w:spacing w:after="140" w:before="80"/>
      </w:pPr>
      <w:r>
        <w:rPr>
          <w:b/>
          <w:bCs/>
          <w:color w:val="0E6B3A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ne pouvez pas vous révoquer vous-même, et un super-administrateur ne peut pas être révoqué. N'accordez que les permissions strictement nécessaires.</w:t>
      </w:r>
    </w:p>
    <w:p>
      <w:pPr>
        <w:pStyle w:val="Heading1"/>
      </w:pPr>
      <w:r>
        <w:t xml:space="preserve">3. Paramètres de la plateforme</w:t>
      </w:r>
    </w:p>
    <w:p>
      <w:pPr>
        <w:spacing w:after="120"/>
      </w:pPr>
      <w:r>
        <w:rPr>
          <w:sz w:val="22"/>
          <w:szCs w:val="22"/>
        </w:rPr>
        <w:t xml:space="preserve">Depuis « Paramètres »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Pièces jointes de la messagerie : réglez le délai de conservation (de 1 à 365 jours ; 30 par défaut) et l'heure de purge (en UTC).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Utilisez « Lancer la purge maintenant » pour exécuter immédiatement le nettoyage ; la date de dernière purge est indiquée.</w:t>
      </w:r>
    </w:p>
    <w:p>
      <w:pPr>
        <w:pBdr>
          <w:top w:val="single" w:color="B8DCC6" w:sz="2" w:space="6"/>
          <w:bottom w:val="single" w:color="B8DCC6" w:sz="2" w:space="6"/>
          <w:left w:val="single" w:color="1E9E57" w:sz="18" w:space="10"/>
          <w:right w:val="single" w:color="B8DCC6" w:sz="2" w:space="6"/>
        </w:pBdr>
        <w:shd w:fill="E8F5EC" w:val="clear"/>
        <w:spacing w:after="140" w:before="80"/>
      </w:pPr>
      <w:r>
        <w:rPr>
          <w:b/>
          <w:bCs/>
          <w:color w:val="0E6B3A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production, la purge est déclenchée chaque jour par une tâche planifiée (Vercel Cron). L'heure choisie est pleinement respectée sur un plan autorisant un cron horaire ; sinon la purge s'exécute au moins une fois par jour.</w:t>
      </w:r>
    </w:p>
    <w:p>
      <w:pPr>
        <w:pStyle w:val="Heading1"/>
      </w:pPr>
      <w:r>
        <w:t xml:space="preserve">4. Support</w:t>
      </w:r>
    </w:p>
    <w:p>
      <w:pPr>
        <w:spacing w:after="120"/>
      </w:pPr>
      <w:r>
        <w:rPr>
          <w:sz w:val="22"/>
          <w:szCs w:val="22"/>
        </w:rPr>
        <w:t xml:space="preserve">Le super-administrateur est le destinataire « Support » de la messagerie : il reçoit les messages que les utilisateurs adressent au support.</w:t>
      </w:r>
    </w:p>
    <w:p>
      <w:pPr>
        <w:pStyle w:val="Heading1"/>
      </w:pPr>
      <w:r>
        <w:t xml:space="preserve">5. Bonnes pratiques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Sécurisez tout particulièrement le compte super-administrateur.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Surveillez régulièrement les commissions à payer et les profils coachs en attente de validation.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Attribuez les rôles d'administration avec parcimonie.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360"/>
      </w:tabs>
    </w:pPr>
    <w:r>
      <w:rPr>
        <w:color w:val="999999"/>
        <w:sz w:val="16"/>
        <w:szCs w:val="16"/>
      </w:rPr>
      <w:t xml:space="preserve">EduWeb — Guide Super-Admin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2026-06-12T09:46:08.498Z</dcterms:created>
  <dcterms:modified xsi:type="dcterms:W3CDTF">2026-06-12T09:46:08.498Z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