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20 juin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Vos pouvoirs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 sans restriction (voir le Guide Admin) : utilisateurs, coachs, finances.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en particulier rechercher n'importe quel coach (bouton « Coachs ») et consulter ou modifier son profil complet en mode 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Validation des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disposez en plus de la gestion des administrateurs et des paramètres de la plateforme.</w:t>
      </w:r>
    </w:p>
    <w:p>
      <w:pPr>
        <w:pStyle w:val="Heading1"/>
      </w:pPr>
      <w:r>
        <w:t xml:space="preserve">2.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3.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4.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5.  Gérer les administrateurs</w:t>
      </w:r>
    </w:p>
    <w:p>
      <w:pPr>
        <w:spacing w:after="120"/>
      </w:pPr>
      <w:r>
        <w:rPr>
          <w:sz w:val="22"/>
          <w:szCs w:val="22"/>
        </w:rPr>
        <w:t xml:space="preserve">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 email existant, avec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les permissions d'un administrateur, ou révoquez-le (il redevient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N'accordez que les permissions nécessaires.</w:t>
      </w:r>
    </w:p>
    <w:p>
      <w:pPr>
        <w:pStyle w:val="Heading1"/>
      </w:pPr>
      <w:r>
        <w:t xml:space="preserve">6.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réglez le délai de conservation (1 à 365 jours ; 30 par défaut) et l'heure de purge (UTC).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Utilisez « Lancer la purge maintenant » pour exécuter immédiatement le nettoyage ; la date de dernière purge est indiquée.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est déclenchée chaque jour par une tâche planifiée (Vercel Cron).</w:t>
      </w:r>
    </w:p>
    <w:p>
      <w:pPr>
        <w:pStyle w:val="Heading1"/>
      </w:pPr>
      <w:r>
        <w:t xml:space="preserve">7.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destinataire « Support » de la messagerie : il reçoit les messages que les utilisateurs adressent au support.</w:t>
      </w:r>
    </w:p>
    <w:p>
      <w:pPr>
        <w:pStyle w:val="Heading1"/>
      </w:pPr>
      <w:r>
        <w:t xml:space="preserve">8.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Sécurisez tout particulièrement le compte super-administrateur.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 et les profils coachs en attente de validation.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Attribuez les rôles d'administration avec parcimonie.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2026-06-20T21:49:12.942Z</dcterms:created>
  <dcterms:modified xsi:type="dcterms:W3CDTF">2026-06-20T21:49:12.942Z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