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ADC26" w14:textId="03C57FC4" w:rsidR="006477A7" w:rsidRPr="007F5B2C" w:rsidRDefault="006477A7" w:rsidP="006477A7">
      <w:pPr>
        <w:jc w:val="center"/>
        <w:rPr>
          <w:color w:val="C00000"/>
          <w:sz w:val="56"/>
          <w:szCs w:val="56"/>
        </w:rPr>
      </w:pPr>
      <w:r w:rsidRPr="007F5B2C">
        <w:rPr>
          <w:color w:val="C00000"/>
          <w:sz w:val="56"/>
          <w:szCs w:val="56"/>
        </w:rPr>
        <w:t>Dosage</w:t>
      </w:r>
    </w:p>
    <w:p w14:paraId="76EBDC01" w14:textId="77777777" w:rsidR="00505F56" w:rsidRPr="007F5B2C" w:rsidRDefault="00505F56" w:rsidP="006477A7">
      <w:pPr>
        <w:pStyle w:val="Sansinterligne"/>
        <w:rPr>
          <w:b/>
          <w:bCs/>
        </w:rPr>
      </w:pPr>
    </w:p>
    <w:p w14:paraId="4AC34375" w14:textId="79A1EF5D" w:rsidR="006477A7" w:rsidRPr="007F5B2C" w:rsidRDefault="006477A7" w:rsidP="006477A7">
      <w:pPr>
        <w:pStyle w:val="Sansinterligne"/>
      </w:pPr>
      <w:r w:rsidRPr="007F5B2C">
        <w:rPr>
          <w:b/>
          <w:bCs/>
        </w:rPr>
        <w:t xml:space="preserve">Niveau : </w:t>
      </w:r>
      <w:r w:rsidRPr="007F5B2C">
        <w:t xml:space="preserve"> Lycée</w:t>
      </w:r>
      <w:r w:rsidR="00505F56" w:rsidRPr="007F5B2C">
        <w:t xml:space="preserve"> (TS)</w:t>
      </w:r>
    </w:p>
    <w:p w14:paraId="478B5723" w14:textId="56F0390B" w:rsidR="006477A7" w:rsidRPr="007F5B2C" w:rsidRDefault="006477A7" w:rsidP="006477A7">
      <w:pPr>
        <w:pStyle w:val="Sansinterligne"/>
      </w:pPr>
      <w:r w:rsidRPr="007F5B2C">
        <w:rPr>
          <w:b/>
          <w:bCs/>
        </w:rPr>
        <w:t xml:space="preserve">Prérequis : </w:t>
      </w:r>
      <w:r w:rsidRPr="007F5B2C">
        <w:t xml:space="preserve"> </w:t>
      </w:r>
      <w:r w:rsidR="00DA57BE" w:rsidRPr="007F5B2C">
        <w:t>Spectrophotométrie</w:t>
      </w:r>
      <w:r w:rsidR="00505F56" w:rsidRPr="007F5B2C">
        <w:t>, réaction acide base et pH-mètre, dilution, indicateurs colorés.</w:t>
      </w:r>
    </w:p>
    <w:p w14:paraId="1779B231" w14:textId="77777777" w:rsidR="006477A7" w:rsidRPr="007F5B2C" w:rsidRDefault="006477A7"/>
    <w:p w14:paraId="5779A67C" w14:textId="3B3EF004" w:rsidR="006477A7" w:rsidRPr="007F5B2C" w:rsidRDefault="006477A7">
      <w:r w:rsidRPr="007F5B2C">
        <w:rPr>
          <w:b/>
          <w:bCs/>
          <w:highlight w:val="yellow"/>
        </w:rPr>
        <w:t>[1]</w:t>
      </w:r>
      <w:r w:rsidRPr="007F5B2C">
        <w:rPr>
          <w:highlight w:val="yellow"/>
        </w:rPr>
        <w:t xml:space="preserve"> </w:t>
      </w:r>
      <w:r w:rsidRPr="007F5B2C">
        <w:t xml:space="preserve">Stanislas ANTCZAK, Jean-François Le MARÉCHAL et al. Physique Chimie, Terminale S enseignement spéciﬁque. Hatier,2012. </w:t>
      </w:r>
    </w:p>
    <w:p w14:paraId="774FCA06" w14:textId="36A29DCA" w:rsidR="006477A7" w:rsidRPr="007F5B2C" w:rsidRDefault="006477A7">
      <w:r w:rsidRPr="007F5B2C">
        <w:rPr>
          <w:b/>
          <w:bCs/>
          <w:highlight w:val="yellow"/>
        </w:rPr>
        <w:t>[2]</w:t>
      </w:r>
      <w:r w:rsidRPr="007F5B2C">
        <w:rPr>
          <w:highlight w:val="yellow"/>
        </w:rPr>
        <w:t xml:space="preserve"> </w:t>
      </w:r>
      <w:r w:rsidRPr="007F5B2C">
        <w:t>Dosage du Destop par deux méthodes. [</w:t>
      </w:r>
      <w:hyperlink r:id="rId5" w:history="1">
        <w:r w:rsidRPr="007F5B2C">
          <w:rPr>
            <w:rStyle w:val="Lienhypertexte"/>
          </w:rPr>
          <w:t>l</w:t>
        </w:r>
        <w:r w:rsidRPr="007F5B2C">
          <w:rPr>
            <w:rStyle w:val="Lienhypertexte"/>
          </w:rPr>
          <w:t>i</w:t>
        </w:r>
        <w:r w:rsidRPr="007F5B2C">
          <w:rPr>
            <w:rStyle w:val="Lienhypertexte"/>
          </w:rPr>
          <w:t>en</w:t>
        </w:r>
      </w:hyperlink>
      <w:r w:rsidRPr="007F5B2C">
        <w:t xml:space="preserve">]  </w:t>
      </w:r>
    </w:p>
    <w:p w14:paraId="61244FF5" w14:textId="7D19BA0D" w:rsidR="006477A7" w:rsidRPr="007F5B2C" w:rsidRDefault="006477A7">
      <w:r w:rsidRPr="007F5B2C">
        <w:rPr>
          <w:b/>
          <w:bCs/>
          <w:highlight w:val="yellow"/>
        </w:rPr>
        <w:t>[3]</w:t>
      </w:r>
      <w:r w:rsidRPr="007F5B2C">
        <w:rPr>
          <w:highlight w:val="yellow"/>
        </w:rPr>
        <w:t xml:space="preserve"> </w:t>
      </w:r>
      <w:r w:rsidRPr="007F5B2C">
        <w:t xml:space="preserve">Valéry PRÉVOST, Bernard RICHOUX et al. Physique Chimie, Terminale S enseignement spéciﬁque. Nathan, 2012. </w:t>
      </w:r>
    </w:p>
    <w:p w14:paraId="4D803307" w14:textId="62C15828" w:rsidR="00FF34B3" w:rsidRPr="007F5B2C" w:rsidRDefault="006477A7">
      <w:r w:rsidRPr="007F5B2C">
        <w:rPr>
          <w:b/>
          <w:bCs/>
          <w:highlight w:val="yellow"/>
        </w:rPr>
        <w:t>[4]</w:t>
      </w:r>
      <w:r w:rsidRPr="007F5B2C">
        <w:t>Mathieu RUFFENACH, Thierry CARIAT, Valérie MORA et al. Physique Chimie, Terminale S enseignement spéciﬁque. Bordas, 2012</w:t>
      </w:r>
    </w:p>
    <w:p w14:paraId="5BB7E7E1" w14:textId="77777777" w:rsidR="004702D3" w:rsidRDefault="004702D3">
      <w:r w:rsidRPr="004702D3">
        <w:rPr>
          <w:b/>
          <w:bCs/>
          <w:highlight w:val="yellow"/>
        </w:rPr>
        <w:t>[5]</w:t>
      </w:r>
      <w:r>
        <w:t xml:space="preserve"> Simulations :</w:t>
      </w:r>
    </w:p>
    <w:p w14:paraId="2E5FE847" w14:textId="5AA77703" w:rsidR="00D470DE" w:rsidRPr="007F5B2C" w:rsidRDefault="004702D3">
      <w:r>
        <w:t xml:space="preserve"> </w:t>
      </w:r>
      <w:hyperlink r:id="rId6" w:history="1">
        <w:r w:rsidRPr="0066034B">
          <w:rPr>
            <w:rStyle w:val="Lienhypertexte"/>
          </w:rPr>
          <w:t>https://vivonslessciences.editions-</w:t>
        </w:r>
        <w:r w:rsidRPr="0066034B">
          <w:rPr>
            <w:rStyle w:val="Lienhypertexte"/>
          </w:rPr>
          <w:t>h</w:t>
        </w:r>
        <w:r w:rsidRPr="0066034B">
          <w:rPr>
            <w:rStyle w:val="Lienhypertexte"/>
          </w:rPr>
          <w:t>atier.fr/sea</w:t>
        </w:r>
        <w:r w:rsidRPr="0066034B">
          <w:rPr>
            <w:rStyle w:val="Lienhypertexte"/>
          </w:rPr>
          <w:t>r</w:t>
        </w:r>
        <w:r w:rsidRPr="0066034B">
          <w:rPr>
            <w:rStyle w:val="Lienhypertexte"/>
          </w:rPr>
          <w:t>chPage.php?action=4&amp;search=titrage&amp;classe=default&amp;theme=0</w:t>
        </w:r>
      </w:hyperlink>
      <w:r>
        <w:t xml:space="preserve"> </w:t>
      </w:r>
    </w:p>
    <w:p w14:paraId="131F9B9A" w14:textId="77777777" w:rsidR="004702D3" w:rsidRDefault="004702D3">
      <w:pPr>
        <w:rPr>
          <w:color w:val="0070C0"/>
        </w:rPr>
      </w:pPr>
    </w:p>
    <w:p w14:paraId="33208A97" w14:textId="3A601558" w:rsidR="00505F56" w:rsidRPr="007F5B2C" w:rsidRDefault="00505F56">
      <w:pPr>
        <w:rPr>
          <w:color w:val="0070C0"/>
        </w:rPr>
      </w:pPr>
      <w:r w:rsidRPr="007F5B2C">
        <w:rPr>
          <w:color w:val="0070C0"/>
        </w:rPr>
        <w:t xml:space="preserve">Rq : Dans toute cette leçon, il faut évoluer </w:t>
      </w:r>
      <w:r w:rsidRPr="007F5B2C">
        <w:rPr>
          <w:b/>
          <w:bCs/>
          <w:color w:val="0070C0"/>
        </w:rPr>
        <w:t>précisément</w:t>
      </w:r>
      <w:r w:rsidRPr="007F5B2C">
        <w:rPr>
          <w:color w:val="0070C0"/>
        </w:rPr>
        <w:t xml:space="preserve"> les incertitudes, c’est un concept clé des dosages ! </w:t>
      </w:r>
    </w:p>
    <w:p w14:paraId="7BA49C08" w14:textId="0CF41BE8" w:rsidR="00505F56" w:rsidRPr="007F5B2C" w:rsidRDefault="00AC63B3">
      <w:pPr>
        <w:rPr>
          <w:color w:val="000000" w:themeColor="text1"/>
        </w:rPr>
      </w:pPr>
      <w:r w:rsidRPr="007F5B2C">
        <w:rPr>
          <w:color w:val="000000" w:themeColor="text1"/>
          <w:highlight w:val="yellow"/>
        </w:rPr>
        <w:t>Lire le livre d’Anne-Sophie Bernard : technique expérimentale en chimie</w:t>
      </w:r>
    </w:p>
    <w:p w14:paraId="4750AA1A" w14:textId="77777777" w:rsidR="00AC63B3" w:rsidRPr="007F5B2C" w:rsidRDefault="00AC63B3">
      <w:pPr>
        <w:rPr>
          <w:color w:val="0070C0"/>
        </w:rPr>
      </w:pPr>
    </w:p>
    <w:p w14:paraId="0A52C5A1" w14:textId="5A25AAF7" w:rsidR="00505F56" w:rsidRPr="007F5B2C" w:rsidRDefault="00505F56" w:rsidP="00505F56">
      <w:pPr>
        <w:pStyle w:val="Paragraphedeliste"/>
        <w:numPr>
          <w:ilvl w:val="0"/>
          <w:numId w:val="2"/>
        </w:numPr>
        <w:rPr>
          <w:color w:val="C00000"/>
          <w:sz w:val="32"/>
          <w:szCs w:val="32"/>
        </w:rPr>
      </w:pPr>
      <w:r w:rsidRPr="007F5B2C">
        <w:rPr>
          <w:color w:val="C00000"/>
          <w:sz w:val="32"/>
          <w:szCs w:val="32"/>
        </w:rPr>
        <w:t>Dosage par étalonnage</w:t>
      </w:r>
    </w:p>
    <w:p w14:paraId="721C9959" w14:textId="21DC3A35" w:rsidR="00505F56" w:rsidRPr="007F5B2C" w:rsidRDefault="00505F56" w:rsidP="00505F56">
      <w:pPr>
        <w:pStyle w:val="Paragraphedeliste"/>
        <w:numPr>
          <w:ilvl w:val="0"/>
          <w:numId w:val="2"/>
        </w:numPr>
        <w:rPr>
          <w:color w:val="C00000"/>
          <w:sz w:val="32"/>
          <w:szCs w:val="32"/>
        </w:rPr>
      </w:pPr>
      <w:r w:rsidRPr="007F5B2C">
        <w:rPr>
          <w:color w:val="C00000"/>
          <w:sz w:val="32"/>
          <w:szCs w:val="32"/>
        </w:rPr>
        <w:t>Dosage par titrage</w:t>
      </w:r>
    </w:p>
    <w:p w14:paraId="18B1CFAF" w14:textId="0D63645A" w:rsidR="00505F56" w:rsidRPr="007F5B2C" w:rsidRDefault="00505F56" w:rsidP="00505F56">
      <w:pPr>
        <w:rPr>
          <w:color w:val="C00000"/>
          <w:sz w:val="32"/>
          <w:szCs w:val="32"/>
        </w:rPr>
      </w:pPr>
    </w:p>
    <w:p w14:paraId="390D7DE1" w14:textId="6BC8DE44" w:rsidR="00505F56" w:rsidRPr="007F5B2C" w:rsidRDefault="00505F56" w:rsidP="00505F56">
      <w:pPr>
        <w:rPr>
          <w:i/>
          <w:iCs/>
        </w:rPr>
      </w:pPr>
      <w:r w:rsidRPr="007F5B2C">
        <w:rPr>
          <w:color w:val="C00000"/>
          <w:sz w:val="32"/>
          <w:szCs w:val="32"/>
        </w:rPr>
        <w:t xml:space="preserve">Intro : </w:t>
      </w:r>
      <w:r w:rsidRPr="007F5B2C">
        <w:rPr>
          <w:i/>
          <w:iCs/>
        </w:rPr>
        <w:t>Les produits chimiques sont omniprésents dans notre quotidien que ce soit dans les médicaments, les produits d’entretien ou dans la nourriture (colorant, conservateur …). Par sécurité pour l’utilisateur, il existe des doses maximales</w:t>
      </w:r>
      <w:r w:rsidR="008C2029" w:rsidRPr="007F5B2C">
        <w:rPr>
          <w:i/>
          <w:iCs/>
        </w:rPr>
        <w:t xml:space="preserve"> par jour pour chaque produit chimique.</w:t>
      </w:r>
    </w:p>
    <w:p w14:paraId="1403D3E9" w14:textId="52BEAF92" w:rsidR="008C2029" w:rsidRPr="007F5B2C" w:rsidRDefault="008C2029" w:rsidP="00505F56">
      <w:pPr>
        <w:rPr>
          <w:i/>
          <w:iCs/>
        </w:rPr>
      </w:pPr>
      <w:r w:rsidRPr="007F5B2C">
        <w:rPr>
          <w:i/>
          <w:iCs/>
        </w:rPr>
        <w:t xml:space="preserve">D’où l’importance de l’étape </w:t>
      </w:r>
      <w:r w:rsidRPr="007F5B2C">
        <w:rPr>
          <w:b/>
          <w:bCs/>
        </w:rPr>
        <w:t>contrôle de qualité</w:t>
      </w:r>
      <w:r w:rsidRPr="007F5B2C">
        <w:rPr>
          <w:i/>
          <w:iCs/>
        </w:rPr>
        <w:t xml:space="preserve"> dans une synthèse : s’assurer que l’on respect bien les normes de sécurité. </w:t>
      </w:r>
    </w:p>
    <w:p w14:paraId="0ABC77C3" w14:textId="11B9CC36" w:rsidR="008C2029" w:rsidRPr="007F5B2C" w:rsidRDefault="008C2029" w:rsidP="00505F56">
      <w:pPr>
        <w:rPr>
          <w:i/>
          <w:iCs/>
        </w:rPr>
      </w:pPr>
      <w:r w:rsidRPr="007F5B2C">
        <w:rPr>
          <w:i/>
          <w:iCs/>
        </w:rPr>
        <w:t xml:space="preserve">Dans le passé par exemple, il y à eu l’affaire du talc de Morhange contenant des traces de produit toxique en trop grande quantité provoquant la mort de dizaines de bébés. </w:t>
      </w:r>
    </w:p>
    <w:p w14:paraId="575D662E" w14:textId="1FC053DB" w:rsidR="008C2029" w:rsidRPr="007F5B2C" w:rsidRDefault="008C2029" w:rsidP="00505F56">
      <w:r w:rsidRPr="007F5B2C">
        <w:rPr>
          <w:b/>
          <w:bCs/>
          <w:u w:val="single"/>
        </w:rPr>
        <w:t>Le dosage</w:t>
      </w:r>
      <w:r w:rsidRPr="007F5B2C">
        <w:rPr>
          <w:b/>
          <w:bCs/>
        </w:rPr>
        <w:t xml:space="preserve"> est une méthode expérimentale permettant de contrôler la concentration d’une espèce en solution </w:t>
      </w:r>
      <w:r w:rsidRPr="007F5B2C">
        <w:rPr>
          <w:highlight w:val="yellow"/>
        </w:rPr>
        <w:t>3p451</w:t>
      </w:r>
    </w:p>
    <w:p w14:paraId="7461B8E6" w14:textId="0FF3AF34" w:rsidR="008C2029" w:rsidRPr="007F5B2C" w:rsidRDefault="008C2029" w:rsidP="00505F56">
      <w:r w:rsidRPr="007F5B2C">
        <w:t xml:space="preserve">Ces méthodes sont très </w:t>
      </w:r>
      <w:r w:rsidR="00260E14" w:rsidRPr="007F5B2C">
        <w:t>utilisées</w:t>
      </w:r>
      <w:r w:rsidRPr="007F5B2C">
        <w:t xml:space="preserve"> dans l’industrie agroalimentaire pour contrôler la qualité de la nourriture arrivant sur le marché. </w:t>
      </w:r>
    </w:p>
    <w:p w14:paraId="194C5A80" w14:textId="77777777" w:rsidR="008C2029" w:rsidRPr="007F5B2C" w:rsidRDefault="008C2029" w:rsidP="00505F56"/>
    <w:p w14:paraId="305DC630" w14:textId="47E75144" w:rsidR="008C2029" w:rsidRPr="007F5B2C" w:rsidRDefault="008C2029" w:rsidP="00505F56">
      <w:pPr>
        <w:rPr>
          <w:b/>
          <w:bCs/>
          <w:i/>
          <w:iCs/>
          <w:color w:val="7030A0"/>
        </w:rPr>
      </w:pPr>
      <w:r w:rsidRPr="007F5B2C">
        <w:rPr>
          <w:b/>
          <w:bCs/>
          <w:i/>
          <w:iCs/>
          <w:color w:val="7030A0"/>
        </w:rPr>
        <w:t xml:space="preserve">Diapo : échelle de teinte colorant Bleu </w:t>
      </w:r>
      <w:r w:rsidR="00260E14" w:rsidRPr="007F5B2C">
        <w:rPr>
          <w:b/>
          <w:bCs/>
          <w:i/>
          <w:iCs/>
          <w:color w:val="7030A0"/>
        </w:rPr>
        <w:t>E131</w:t>
      </w:r>
    </w:p>
    <w:p w14:paraId="07E1DDE4" w14:textId="5D282115" w:rsidR="00260E14" w:rsidRPr="007F5B2C" w:rsidRDefault="00260E14" w:rsidP="00505F56">
      <w:pPr>
        <w:rPr>
          <w:i/>
          <w:iCs/>
        </w:rPr>
      </w:pPr>
      <w:r w:rsidRPr="007F5B2C">
        <w:rPr>
          <w:i/>
          <w:iCs/>
        </w:rPr>
        <w:t>Les bonbons « schtroumpf » de Haribo contiennent une partie bleue. Le colorant utilisé est le bleu</w:t>
      </w:r>
      <w:r w:rsidR="00C115B1" w:rsidRPr="007F5B2C">
        <w:rPr>
          <w:i/>
          <w:iCs/>
        </w:rPr>
        <w:t xml:space="preserve"> de patenté V : </w:t>
      </w:r>
      <w:r w:rsidRPr="007F5B2C">
        <w:rPr>
          <w:i/>
          <w:iCs/>
        </w:rPr>
        <w:t xml:space="preserve"> E 131. </w:t>
      </w:r>
    </w:p>
    <w:p w14:paraId="7D72F405" w14:textId="71E00A18" w:rsidR="00260E14" w:rsidRPr="007F5B2C" w:rsidRDefault="00260E14" w:rsidP="00505F56">
      <w:pPr>
        <w:rPr>
          <w:i/>
          <w:iCs/>
        </w:rPr>
      </w:pPr>
      <w:r w:rsidRPr="007F5B2C">
        <w:rPr>
          <w:i/>
          <w:iCs/>
        </w:rPr>
        <w:t xml:space="preserve">En comparant l’absorbance d’une échelle de teinte du colorant avec l’absorbance d’une solution </w:t>
      </w:r>
      <w:r w:rsidR="0074383F" w:rsidRPr="007F5B2C">
        <w:rPr>
          <w:i/>
          <w:iCs/>
        </w:rPr>
        <w:t>de « schtroumpf »</w:t>
      </w:r>
      <w:r w:rsidR="00E026C0" w:rsidRPr="007F5B2C">
        <w:rPr>
          <w:i/>
          <w:iCs/>
        </w:rPr>
        <w:t>, on peut remonter à la concentration d’un « schtroumpf » en E131. C’est un dosage par étalonnage.</w:t>
      </w:r>
    </w:p>
    <w:p w14:paraId="3D712742" w14:textId="4EDAAE53" w:rsidR="00260E14" w:rsidRPr="007F5B2C" w:rsidRDefault="00260E14" w:rsidP="00505F56">
      <w:pPr>
        <w:rPr>
          <w:i/>
          <w:iCs/>
        </w:rPr>
      </w:pPr>
    </w:p>
    <w:p w14:paraId="64CB0923" w14:textId="68CEDF66" w:rsidR="00A44990" w:rsidRPr="007F5B2C" w:rsidRDefault="00A44990" w:rsidP="00A44990">
      <w:pPr>
        <w:pStyle w:val="Paragraphedeliste"/>
        <w:numPr>
          <w:ilvl w:val="0"/>
          <w:numId w:val="3"/>
        </w:numPr>
        <w:rPr>
          <w:color w:val="C00000"/>
          <w:sz w:val="32"/>
          <w:szCs w:val="32"/>
        </w:rPr>
      </w:pPr>
      <w:r w:rsidRPr="007F5B2C">
        <w:rPr>
          <w:color w:val="C00000"/>
          <w:sz w:val="32"/>
          <w:szCs w:val="32"/>
        </w:rPr>
        <w:t>Dosage par étalonnage</w:t>
      </w:r>
    </w:p>
    <w:p w14:paraId="635D2C09" w14:textId="407EDB87" w:rsidR="00A44990" w:rsidRPr="007F5B2C" w:rsidRDefault="00A44990" w:rsidP="00A44990">
      <w:pPr>
        <w:pStyle w:val="Paragraphedeliste"/>
        <w:ind w:left="1080"/>
        <w:rPr>
          <w:color w:val="C00000"/>
          <w:sz w:val="32"/>
          <w:szCs w:val="32"/>
        </w:rPr>
      </w:pPr>
      <w:r w:rsidRPr="007F5B2C">
        <w:rPr>
          <w:color w:val="C00000"/>
          <w:sz w:val="32"/>
          <w:szCs w:val="32"/>
        </w:rPr>
        <w:t>1)Principe</w:t>
      </w:r>
      <w:r w:rsidR="00983080" w:rsidRPr="007F5B2C">
        <w:rPr>
          <w:color w:val="C00000"/>
          <w:sz w:val="32"/>
          <w:szCs w:val="32"/>
        </w:rPr>
        <w:t> : dosage par spectrophotométrie</w:t>
      </w:r>
    </w:p>
    <w:p w14:paraId="2C75F31A" w14:textId="77777777" w:rsidR="00FB4111" w:rsidRPr="007F5B2C" w:rsidRDefault="00FB4111" w:rsidP="00FB4111">
      <w:pPr>
        <w:rPr>
          <w:i/>
          <w:iCs/>
        </w:rPr>
      </w:pPr>
      <w:r w:rsidRPr="007F5B2C">
        <w:rPr>
          <w:i/>
          <w:iCs/>
        </w:rPr>
        <w:t xml:space="preserve">On présente ici le dosage par étalonnage à travers la spectrophotométrie. </w:t>
      </w:r>
    </w:p>
    <w:p w14:paraId="43FBFEDE" w14:textId="77777777" w:rsidR="00FB4111" w:rsidRPr="007F5B2C" w:rsidRDefault="00FB4111" w:rsidP="00FB4111">
      <w:pPr>
        <w:rPr>
          <w:b/>
          <w:bCs/>
        </w:rPr>
      </w:pPr>
      <w:r w:rsidRPr="007F5B2C">
        <w:rPr>
          <w:b/>
          <w:bCs/>
          <w:u w:val="single"/>
        </w:rPr>
        <w:lastRenderedPageBreak/>
        <w:t xml:space="preserve">Dosage par spectrophotométrie : </w:t>
      </w:r>
      <w:r w:rsidRPr="007F5B2C">
        <w:rPr>
          <w:b/>
          <w:bCs/>
        </w:rPr>
        <w:t xml:space="preserve"> Comparaison de l’absorbance d’une solution colorée de concentration inconnue avec les absorbances de solutions étalons de concentrations connues. </w:t>
      </w:r>
    </w:p>
    <w:p w14:paraId="356D5CFF" w14:textId="77777777" w:rsidR="00FB4111" w:rsidRPr="007F5B2C" w:rsidRDefault="00FB4111" w:rsidP="00FB4111">
      <w:pPr>
        <w:rPr>
          <w:b/>
          <w:bCs/>
        </w:rPr>
      </w:pPr>
      <w:r w:rsidRPr="007F5B2C">
        <w:rPr>
          <w:i/>
          <w:iCs/>
        </w:rPr>
        <w:t xml:space="preserve">Pour ce faire on utilise </w:t>
      </w:r>
      <w:r w:rsidRPr="007F5B2C">
        <w:rPr>
          <w:b/>
          <w:bCs/>
        </w:rPr>
        <w:t xml:space="preserve">une </w:t>
      </w:r>
      <w:r w:rsidRPr="007F5B2C">
        <w:rPr>
          <w:b/>
          <w:bCs/>
          <w:u w:val="single"/>
        </w:rPr>
        <w:t>courbe d’étalonnage</w:t>
      </w:r>
      <w:r w:rsidRPr="007F5B2C">
        <w:rPr>
          <w:b/>
          <w:bCs/>
        </w:rPr>
        <w:t xml:space="preserve"> : courbe reliant l’absorbance des solutions étalons à leur concentration. </w:t>
      </w:r>
    </w:p>
    <w:p w14:paraId="3F956E04" w14:textId="77777777" w:rsidR="00FB4111" w:rsidRPr="007F5B2C" w:rsidRDefault="00FB4111" w:rsidP="00FB4111">
      <w:pPr>
        <w:rPr>
          <w:i/>
          <w:iCs/>
        </w:rPr>
      </w:pPr>
      <w:r w:rsidRPr="007F5B2C">
        <w:rPr>
          <w:i/>
          <w:iCs/>
        </w:rPr>
        <w:t xml:space="preserve">Expérimentalement : </w:t>
      </w:r>
    </w:p>
    <w:p w14:paraId="62AA5EF3" w14:textId="77777777" w:rsidR="00FB4111" w:rsidRPr="007F5B2C" w:rsidRDefault="00FB4111" w:rsidP="00FB4111">
      <w:pPr>
        <w:pStyle w:val="Paragraphedeliste"/>
        <w:numPr>
          <w:ilvl w:val="0"/>
          <w:numId w:val="5"/>
        </w:numPr>
        <w:rPr>
          <w:i/>
          <w:iCs/>
        </w:rPr>
      </w:pPr>
      <w:r w:rsidRPr="007F5B2C">
        <w:rPr>
          <w:i/>
          <w:iCs/>
        </w:rPr>
        <w:t xml:space="preserve">on fait le spectre d’une solution de E131 et on déterminer </w:t>
      </w:r>
      <w:r w:rsidRPr="007F5B2C">
        <w:rPr>
          <w:rFonts w:ascii="Arial" w:hAnsi="Arial" w:cs="Arial"/>
          <w:sz w:val="22"/>
          <w:szCs w:val="22"/>
        </w:rPr>
        <w:sym w:font="Symbol" w:char="F06C"/>
      </w:r>
      <w:r w:rsidRPr="007F5B2C">
        <w:rPr>
          <w:rFonts w:ascii="Arial" w:hAnsi="Arial" w:cs="Arial"/>
          <w:sz w:val="15"/>
          <w:szCs w:val="15"/>
        </w:rPr>
        <w:t>max</w:t>
      </w:r>
      <w:r w:rsidRPr="007F5B2C">
        <w:rPr>
          <w:rFonts w:ascii="Arial" w:hAnsi="Arial" w:cs="Arial"/>
          <w:sz w:val="22"/>
          <w:szCs w:val="22"/>
        </w:rPr>
        <w:t>= 640 nm</w:t>
      </w:r>
    </w:p>
    <w:p w14:paraId="3D0985C4" w14:textId="77777777" w:rsidR="00FB4111" w:rsidRPr="007F5B2C" w:rsidRDefault="00FB4111" w:rsidP="00FB4111">
      <w:pPr>
        <w:pStyle w:val="Paragraphedeliste"/>
        <w:numPr>
          <w:ilvl w:val="0"/>
          <w:numId w:val="5"/>
        </w:numPr>
        <w:rPr>
          <w:b/>
          <w:bCs/>
          <w:i/>
          <w:iCs/>
          <w:u w:val="single"/>
        </w:rPr>
      </w:pPr>
      <w:r w:rsidRPr="007F5B2C">
        <w:rPr>
          <w:i/>
          <w:iCs/>
        </w:rPr>
        <w:t>on trace la courbe d’étalonnage pour l’échelle de teinte du E13</w:t>
      </w:r>
    </w:p>
    <w:p w14:paraId="315D82DA" w14:textId="77777777" w:rsidR="00FB4111" w:rsidRPr="007F5B2C" w:rsidRDefault="00FB4111" w:rsidP="00FB4111">
      <w:pPr>
        <w:rPr>
          <w:b/>
          <w:bCs/>
          <w:i/>
          <w:iCs/>
          <w:u w:val="single"/>
        </w:rPr>
      </w:pPr>
      <w:r w:rsidRPr="007F5B2C">
        <w:rPr>
          <w:i/>
          <w:iCs/>
        </w:rPr>
        <w:t xml:space="preserve">on trouve une droite. Cette droite met en exergue la </w:t>
      </w:r>
      <w:r w:rsidRPr="007F5B2C">
        <w:rPr>
          <w:b/>
          <w:bCs/>
          <w:i/>
          <w:iCs/>
          <w:u w:val="single"/>
        </w:rPr>
        <w:t xml:space="preserve">Loi de Beer-Lambert : </w:t>
      </w:r>
    </w:p>
    <w:p w14:paraId="6B71A615" w14:textId="77777777" w:rsidR="00FB4111" w:rsidRPr="007F5B2C" w:rsidRDefault="00FB4111" w:rsidP="00FB4111">
      <w:pPr>
        <w:jc w:val="center"/>
        <w:rPr>
          <w:rFonts w:ascii="Times New Roman" w:hAnsi="Times New Roman" w:cs="Times New Roman"/>
          <w:b/>
          <w:bCs/>
          <w:sz w:val="28"/>
          <w:szCs w:val="28"/>
        </w:rPr>
      </w:pPr>
      <w:r w:rsidRPr="007F5B2C">
        <w:rPr>
          <w:b/>
          <w:bCs/>
          <w:sz w:val="28"/>
          <w:szCs w:val="28"/>
        </w:rPr>
        <w:t xml:space="preserve">A = </w:t>
      </w:r>
      <w:r w:rsidRPr="007F5B2C">
        <w:rPr>
          <w:rFonts w:cstheme="minorHAnsi"/>
          <w:b/>
          <w:bCs/>
          <w:sz w:val="28"/>
          <w:szCs w:val="28"/>
        </w:rPr>
        <w:t>ε</w:t>
      </w:r>
      <w:r w:rsidRPr="007F5B2C">
        <w:rPr>
          <w:b/>
          <w:bCs/>
          <w:sz w:val="28"/>
          <w:szCs w:val="28"/>
        </w:rPr>
        <w:t>.</w:t>
      </w:r>
      <w:r w:rsidRPr="007F5B2C">
        <w:rPr>
          <w:rFonts w:ascii="French Script MT" w:hAnsi="French Script MT"/>
          <w:b/>
          <w:bCs/>
          <w:sz w:val="28"/>
          <w:szCs w:val="28"/>
        </w:rPr>
        <w:t>l</w:t>
      </w:r>
      <w:r w:rsidRPr="007F5B2C">
        <w:rPr>
          <w:rFonts w:ascii="Times New Roman" w:hAnsi="Times New Roman" w:cs="Times New Roman"/>
          <w:b/>
          <w:bCs/>
          <w:sz w:val="28"/>
          <w:szCs w:val="28"/>
        </w:rPr>
        <w:t>.C</w:t>
      </w:r>
    </w:p>
    <w:p w14:paraId="01FD5903" w14:textId="77777777" w:rsidR="00FB4111" w:rsidRPr="007F5B2C" w:rsidRDefault="00FB4111" w:rsidP="00FB4111">
      <w:pPr>
        <w:rPr>
          <w:rFonts w:ascii="Times New Roman" w:hAnsi="Times New Roman" w:cs="Times New Roman"/>
          <w:b/>
          <w:bCs/>
        </w:rPr>
      </w:pPr>
      <w:r w:rsidRPr="007F5B2C">
        <w:rPr>
          <w:rFonts w:ascii="Times New Roman" w:hAnsi="Times New Roman" w:cs="Times New Roman"/>
          <w:b/>
          <w:bCs/>
        </w:rPr>
        <w:t xml:space="preserve">où : </w:t>
      </w:r>
    </w:p>
    <w:p w14:paraId="6F4C726C" w14:textId="77777777" w:rsidR="00FB4111" w:rsidRPr="007F5B2C" w:rsidRDefault="00FB4111" w:rsidP="00FB4111">
      <w:pPr>
        <w:pStyle w:val="Paragraphedeliste"/>
        <w:numPr>
          <w:ilvl w:val="0"/>
          <w:numId w:val="4"/>
        </w:numPr>
        <w:rPr>
          <w:rFonts w:ascii="Times New Roman" w:hAnsi="Times New Roman" w:cs="Times New Roman"/>
          <w:b/>
          <w:bCs/>
          <w:sz w:val="22"/>
          <w:szCs w:val="22"/>
        </w:rPr>
      </w:pPr>
      <w:r w:rsidRPr="007F5B2C">
        <w:rPr>
          <w:rFonts w:cstheme="minorHAnsi"/>
          <w:b/>
          <w:bCs/>
        </w:rPr>
        <w:t>ε est coefficient d'atténuation molaire = constante en L.mol</w:t>
      </w:r>
      <w:r w:rsidRPr="007F5B2C">
        <w:rPr>
          <w:rFonts w:cstheme="minorHAnsi"/>
          <w:b/>
          <w:bCs/>
          <w:vertAlign w:val="superscript"/>
        </w:rPr>
        <w:t>-1 </w:t>
      </w:r>
      <w:r w:rsidRPr="007F5B2C">
        <w:rPr>
          <w:rFonts w:cstheme="minorHAnsi"/>
          <w:b/>
          <w:bCs/>
        </w:rPr>
        <w:t>.cm</w:t>
      </w:r>
      <w:r w:rsidRPr="007F5B2C">
        <w:rPr>
          <w:rFonts w:cstheme="minorHAnsi"/>
          <w:b/>
          <w:bCs/>
          <w:vertAlign w:val="superscript"/>
        </w:rPr>
        <w:t>-1</w:t>
      </w:r>
      <w:r w:rsidRPr="007F5B2C">
        <w:rPr>
          <w:rFonts w:cstheme="minorHAnsi"/>
          <w:b/>
          <w:bCs/>
        </w:rPr>
        <w:t xml:space="preserve"> </w:t>
      </w:r>
      <w:r w:rsidRPr="007F5B2C">
        <w:rPr>
          <w:rFonts w:cstheme="minorHAnsi"/>
          <w:color w:val="0070C0"/>
        </w:rPr>
        <w:t>et dépendant de la longueur d’onde incidente</w:t>
      </w:r>
      <w:r w:rsidRPr="007F5B2C">
        <w:rPr>
          <w:rFonts w:cstheme="minorHAnsi"/>
          <w:b/>
          <w:bCs/>
          <w:color w:val="0070C0"/>
        </w:rPr>
        <w:t xml:space="preserve"> </w:t>
      </w:r>
    </w:p>
    <w:p w14:paraId="62CE8B20" w14:textId="77777777" w:rsidR="00FB4111" w:rsidRPr="007F5B2C" w:rsidRDefault="00FB4111" w:rsidP="00FB4111">
      <w:pPr>
        <w:pStyle w:val="Paragraphedeliste"/>
        <w:numPr>
          <w:ilvl w:val="0"/>
          <w:numId w:val="4"/>
        </w:numPr>
        <w:rPr>
          <w:rFonts w:ascii="Times New Roman" w:hAnsi="Times New Roman" w:cs="Times New Roman"/>
          <w:b/>
          <w:bCs/>
          <w:sz w:val="22"/>
          <w:szCs w:val="22"/>
        </w:rPr>
      </w:pPr>
      <w:r w:rsidRPr="007F5B2C">
        <w:rPr>
          <w:rFonts w:ascii="French Script MT" w:hAnsi="French Script MT" w:cstheme="minorHAnsi"/>
          <w:b/>
          <w:bCs/>
        </w:rPr>
        <w:t xml:space="preserve">l </w:t>
      </w:r>
      <w:r w:rsidRPr="007F5B2C">
        <w:rPr>
          <w:rFonts w:ascii="Times New Roman" w:hAnsi="Times New Roman" w:cs="Times New Roman"/>
          <w:b/>
          <w:bCs/>
        </w:rPr>
        <w:t xml:space="preserve"> la largeur de la cuve utilisée en cm </w:t>
      </w:r>
    </w:p>
    <w:p w14:paraId="28BC3F24" w14:textId="77777777" w:rsidR="00FB4111" w:rsidRPr="007F5B2C" w:rsidRDefault="00FB4111" w:rsidP="00FB4111">
      <w:pPr>
        <w:pStyle w:val="Paragraphedeliste"/>
        <w:numPr>
          <w:ilvl w:val="0"/>
          <w:numId w:val="4"/>
        </w:numPr>
        <w:rPr>
          <w:rFonts w:ascii="Times New Roman" w:hAnsi="Times New Roman" w:cs="Times New Roman"/>
          <w:b/>
          <w:bCs/>
          <w:sz w:val="22"/>
          <w:szCs w:val="22"/>
        </w:rPr>
      </w:pPr>
      <w:r w:rsidRPr="007F5B2C">
        <w:rPr>
          <w:rFonts w:ascii="Times New Roman" w:hAnsi="Times New Roman" w:cs="Times New Roman"/>
          <w:b/>
          <w:bCs/>
        </w:rPr>
        <w:t xml:space="preserve">C la Concentration en l’espèce colorée en mol/L </w:t>
      </w:r>
    </w:p>
    <w:p w14:paraId="58CF0CDC" w14:textId="77777777" w:rsidR="00FB4111" w:rsidRPr="007F5B2C" w:rsidRDefault="00FB4111" w:rsidP="00FB4111">
      <w:pPr>
        <w:rPr>
          <w:rFonts w:ascii="Times New Roman" w:hAnsi="Times New Roman" w:cs="Times New Roman"/>
          <w:b/>
          <w:bCs/>
          <w:sz w:val="22"/>
          <w:szCs w:val="22"/>
        </w:rPr>
      </w:pPr>
    </w:p>
    <w:p w14:paraId="1A2D4A63" w14:textId="77777777" w:rsidR="00FB4111" w:rsidRPr="007F5B2C" w:rsidRDefault="00FB4111" w:rsidP="00FB4111">
      <w:pPr>
        <w:rPr>
          <w:rFonts w:ascii="Times New Roman" w:hAnsi="Times New Roman" w:cs="Times New Roman"/>
          <w:color w:val="0070C0"/>
          <w:sz w:val="22"/>
          <w:szCs w:val="22"/>
        </w:rPr>
      </w:pPr>
      <w:r w:rsidRPr="007F5B2C">
        <w:rPr>
          <w:rFonts w:ascii="Times New Roman" w:hAnsi="Times New Roman" w:cs="Times New Roman"/>
          <w:color w:val="0070C0"/>
          <w:sz w:val="22"/>
          <w:szCs w:val="22"/>
        </w:rPr>
        <w:t xml:space="preserve">Remarque sur la spectrophotométrie : </w:t>
      </w:r>
    </w:p>
    <w:p w14:paraId="568B721C" w14:textId="77777777" w:rsidR="00FB4111" w:rsidRPr="007F5B2C" w:rsidRDefault="00FB4111" w:rsidP="00FB4111">
      <w:pPr>
        <w:pStyle w:val="Paragraphedeliste"/>
        <w:numPr>
          <w:ilvl w:val="0"/>
          <w:numId w:val="4"/>
        </w:numPr>
        <w:rPr>
          <w:rFonts w:ascii="Times New Roman" w:hAnsi="Times New Roman" w:cs="Times New Roman"/>
          <w:color w:val="0070C0"/>
          <w:sz w:val="22"/>
          <w:szCs w:val="22"/>
        </w:rPr>
      </w:pPr>
      <w:r w:rsidRPr="007F5B2C">
        <w:rPr>
          <w:rFonts w:ascii="Times New Roman" w:hAnsi="Times New Roman" w:cs="Times New Roman"/>
          <w:color w:val="0070C0"/>
          <w:sz w:val="22"/>
          <w:szCs w:val="22"/>
        </w:rPr>
        <w:t xml:space="preserve">voir le livre de Anne-Sophie Bernard pour les cuves utilisées </w:t>
      </w:r>
    </w:p>
    <w:p w14:paraId="3EA57437" w14:textId="77777777" w:rsidR="00FB4111" w:rsidRPr="007F5B2C" w:rsidRDefault="00FB4111" w:rsidP="00FB4111">
      <w:pPr>
        <w:pStyle w:val="Paragraphedeliste"/>
        <w:numPr>
          <w:ilvl w:val="0"/>
          <w:numId w:val="4"/>
        </w:numPr>
        <w:rPr>
          <w:rFonts w:ascii="Times New Roman" w:hAnsi="Times New Roman" w:cs="Times New Roman"/>
          <w:color w:val="0070C0"/>
          <w:sz w:val="22"/>
          <w:szCs w:val="22"/>
        </w:rPr>
      </w:pPr>
      <w:r w:rsidRPr="007F5B2C">
        <w:rPr>
          <w:rFonts w:ascii="Times New Roman" w:hAnsi="Times New Roman" w:cs="Times New Roman"/>
          <w:color w:val="0070C0"/>
          <w:sz w:val="22"/>
          <w:szCs w:val="22"/>
        </w:rPr>
        <w:t xml:space="preserve">Si plusieurs espèces colorées, on additionne les absorbances </w:t>
      </w:r>
    </w:p>
    <w:p w14:paraId="6C6825DD" w14:textId="77777777" w:rsidR="00FB4111" w:rsidRPr="007F5B2C" w:rsidRDefault="00FB4111" w:rsidP="00FB4111">
      <w:pPr>
        <w:pStyle w:val="Paragraphedeliste"/>
        <w:numPr>
          <w:ilvl w:val="0"/>
          <w:numId w:val="4"/>
        </w:numPr>
        <w:rPr>
          <w:rFonts w:ascii="Times New Roman" w:hAnsi="Times New Roman" w:cs="Times New Roman"/>
          <w:color w:val="0070C0"/>
          <w:sz w:val="22"/>
          <w:szCs w:val="22"/>
        </w:rPr>
      </w:pPr>
      <w:r w:rsidRPr="007F5B2C">
        <w:rPr>
          <w:rFonts w:ascii="Times New Roman" w:hAnsi="Times New Roman" w:cs="Times New Roman"/>
          <w:color w:val="0070C0"/>
          <w:sz w:val="22"/>
          <w:szCs w:val="22"/>
        </w:rPr>
        <w:t>A= -log (I</w:t>
      </w:r>
      <w:r w:rsidRPr="007F5B2C">
        <w:rPr>
          <w:rFonts w:ascii="Times New Roman" w:hAnsi="Times New Roman" w:cs="Times New Roman"/>
          <w:color w:val="0070C0"/>
          <w:sz w:val="22"/>
          <w:szCs w:val="22"/>
          <w:vertAlign w:val="subscript"/>
        </w:rPr>
        <w:t>t</w:t>
      </w:r>
      <w:r w:rsidRPr="007F5B2C">
        <w:rPr>
          <w:rFonts w:ascii="Times New Roman" w:hAnsi="Times New Roman" w:cs="Times New Roman"/>
          <w:color w:val="0070C0"/>
          <w:sz w:val="22"/>
          <w:szCs w:val="22"/>
        </w:rPr>
        <w:t>/I</w:t>
      </w:r>
      <w:r w:rsidRPr="007F5B2C">
        <w:rPr>
          <w:rFonts w:ascii="Times New Roman" w:hAnsi="Times New Roman" w:cs="Times New Roman"/>
          <w:color w:val="0070C0"/>
          <w:sz w:val="22"/>
          <w:szCs w:val="22"/>
          <w:vertAlign w:val="subscript"/>
        </w:rPr>
        <w:t>0</w:t>
      </w:r>
      <w:r w:rsidRPr="007F5B2C">
        <w:rPr>
          <w:rFonts w:ascii="Times New Roman" w:hAnsi="Times New Roman" w:cs="Times New Roman"/>
          <w:color w:val="0070C0"/>
          <w:sz w:val="22"/>
          <w:szCs w:val="22"/>
        </w:rPr>
        <w:t>)</w:t>
      </w:r>
    </w:p>
    <w:p w14:paraId="72817EDA" w14:textId="77777777" w:rsidR="00FB4111" w:rsidRPr="007F5B2C" w:rsidRDefault="00FB4111" w:rsidP="00FB4111">
      <w:pPr>
        <w:rPr>
          <w:rFonts w:ascii="Times New Roman" w:hAnsi="Times New Roman" w:cs="Times New Roman"/>
          <w:color w:val="0070C0"/>
          <w:sz w:val="22"/>
          <w:szCs w:val="22"/>
        </w:rPr>
      </w:pPr>
    </w:p>
    <w:p w14:paraId="6CEC5CDD" w14:textId="77777777" w:rsidR="00FB4111" w:rsidRPr="007F5B2C" w:rsidRDefault="00FB4111" w:rsidP="00FB4111">
      <w:pPr>
        <w:rPr>
          <w:rFonts w:ascii="Times New Roman" w:hAnsi="Times New Roman" w:cs="Times New Roman"/>
          <w:i/>
          <w:iCs/>
          <w:sz w:val="22"/>
          <w:szCs w:val="22"/>
        </w:rPr>
      </w:pPr>
      <w:r w:rsidRPr="007F5B2C">
        <w:rPr>
          <w:rFonts w:ascii="Times New Roman" w:hAnsi="Times New Roman" w:cs="Times New Roman"/>
          <w:i/>
          <w:iCs/>
          <w:sz w:val="22"/>
          <w:szCs w:val="22"/>
        </w:rPr>
        <w:t xml:space="preserve">On fait fondre la partie bleue d’un </w:t>
      </w:r>
      <w:r w:rsidRPr="007F5B2C">
        <w:rPr>
          <w:i/>
          <w:iCs/>
        </w:rPr>
        <w:t xml:space="preserve">« schtroumpf » dans 40 mL d’eau distillée chaude puis on complète à 50mL une fiole jaugée pour former la solution de « schtroumpf ». </w:t>
      </w:r>
    </w:p>
    <w:p w14:paraId="42B38B3D" w14:textId="77777777" w:rsidR="00FB4111" w:rsidRPr="007F5B2C" w:rsidRDefault="00FB4111" w:rsidP="00FB4111">
      <w:pPr>
        <w:rPr>
          <w:i/>
          <w:iCs/>
        </w:rPr>
      </w:pPr>
      <w:r w:rsidRPr="007F5B2C">
        <w:rPr>
          <w:rFonts w:ascii="Times New Roman" w:hAnsi="Times New Roman" w:cs="Times New Roman"/>
          <w:i/>
          <w:iCs/>
          <w:sz w:val="22"/>
          <w:szCs w:val="22"/>
        </w:rPr>
        <w:t xml:space="preserve">Il suffit ensuite de mesurer l’absorbance de la solution de </w:t>
      </w:r>
      <w:r w:rsidRPr="007F5B2C">
        <w:rPr>
          <w:i/>
          <w:iCs/>
        </w:rPr>
        <w:t xml:space="preserve">« schtroumpf », et de déterminer grâce à la courbe d’étalonnage la concentration de la solution. </w:t>
      </w:r>
    </w:p>
    <w:p w14:paraId="7CF16DDC" w14:textId="77777777" w:rsidR="00FB4111" w:rsidRPr="007F5B2C" w:rsidRDefault="00FB4111" w:rsidP="00FB4111">
      <w:pPr>
        <w:rPr>
          <w:i/>
          <w:iCs/>
        </w:rPr>
      </w:pPr>
      <w:r w:rsidRPr="007F5B2C">
        <w:rPr>
          <w:i/>
          <w:iCs/>
        </w:rPr>
        <w:t xml:space="preserve">Sachant la masse molaire du bleu </w:t>
      </w:r>
      <w:r w:rsidRPr="007F5B2C">
        <w:rPr>
          <w:rFonts w:ascii="Arial" w:hAnsi="Arial" w:cs="Arial"/>
          <w:sz w:val="22"/>
          <w:szCs w:val="22"/>
        </w:rPr>
        <w:t xml:space="preserve">E131 </w:t>
      </w:r>
      <w:r w:rsidRPr="007F5B2C">
        <w:rPr>
          <w:rFonts w:ascii="Arial" w:hAnsi="Arial" w:cs="Arial"/>
          <w:color w:val="0070C0"/>
          <w:sz w:val="22"/>
          <w:szCs w:val="22"/>
        </w:rPr>
        <w:t xml:space="preserve">( </w:t>
      </w:r>
      <w:r w:rsidRPr="007F5B2C">
        <w:rPr>
          <w:color w:val="0070C0"/>
        </w:rPr>
        <w:t>1160,45 g.mol</w:t>
      </w:r>
      <w:r w:rsidRPr="007F5B2C">
        <w:rPr>
          <w:color w:val="0070C0"/>
          <w:vertAlign w:val="superscript"/>
        </w:rPr>
        <w:t>-1</w:t>
      </w:r>
      <w:r w:rsidRPr="007F5B2C">
        <w:rPr>
          <w:color w:val="0070C0"/>
        </w:rPr>
        <w:t xml:space="preserve">), </w:t>
      </w:r>
      <w:r w:rsidRPr="007F5B2C">
        <w:t xml:space="preserve">on peut remonter à la masse de E131 contenu  dans un </w:t>
      </w:r>
      <w:r w:rsidRPr="007F5B2C">
        <w:rPr>
          <w:i/>
          <w:iCs/>
        </w:rPr>
        <w:t xml:space="preserve">« schtroumpf ». </w:t>
      </w:r>
      <w:r w:rsidRPr="007F5B2C">
        <w:rPr>
          <w:i/>
          <w:iCs/>
          <w:color w:val="0070C0"/>
        </w:rPr>
        <w:t>(environ 0,22g)</w:t>
      </w:r>
    </w:p>
    <w:p w14:paraId="551094CB" w14:textId="77777777" w:rsidR="00FB4111" w:rsidRPr="007F5B2C" w:rsidRDefault="00FB4111" w:rsidP="00FB4111">
      <w:pPr>
        <w:rPr>
          <w:i/>
          <w:iCs/>
        </w:rPr>
      </w:pPr>
      <w:r w:rsidRPr="007F5B2C">
        <w:rPr>
          <w:i/>
          <w:iCs/>
        </w:rPr>
        <w:t xml:space="preserve">On peut alors déterminer combien de « schtroumpf » nous pouvons manger en une journée sans mettre notre santé en danger à cause de ce colorant sachant que  la D.J.A (dose journalière admissible) est de :5mg/kg/jour depuis 2013. </w:t>
      </w:r>
    </w:p>
    <w:p w14:paraId="782923F5" w14:textId="77777777" w:rsidR="00FB4111" w:rsidRPr="007F5B2C" w:rsidRDefault="00FB4111" w:rsidP="00FB4111">
      <w:pPr>
        <w:rPr>
          <w:i/>
          <w:iCs/>
        </w:rPr>
      </w:pPr>
    </w:p>
    <w:p w14:paraId="5D5563A4" w14:textId="77777777" w:rsidR="00FB4111" w:rsidRPr="007F5B2C" w:rsidRDefault="00FB4111" w:rsidP="00FB4111">
      <w:pPr>
        <w:jc w:val="center"/>
        <w:rPr>
          <w:i/>
          <w:iCs/>
        </w:rPr>
      </w:pPr>
      <w:r w:rsidRPr="007F5B2C">
        <w:rPr>
          <w:i/>
          <w:iCs/>
          <w:noProof/>
        </w:rPr>
        <w:drawing>
          <wp:inline distT="0" distB="0" distL="0" distR="0" wp14:anchorId="442571D4" wp14:editId="6B8C9C58">
            <wp:extent cx="4434897" cy="2352990"/>
            <wp:effectExtent l="57150" t="57150" r="60960" b="666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3392" r="4748"/>
                    <a:stretch/>
                  </pic:blipFill>
                  <pic:spPr bwMode="auto">
                    <a:xfrm>
                      <a:off x="0" y="0"/>
                      <a:ext cx="4435501" cy="2353310"/>
                    </a:xfrm>
                    <a:prstGeom prst="rect">
                      <a:avLst/>
                    </a:prstGeom>
                    <a:noFill/>
                    <a:ln w="57150">
                      <a:solidFill>
                        <a:schemeClr val="bg1">
                          <a:lumMod val="50000"/>
                        </a:schemeClr>
                      </a:solidFill>
                    </a:ln>
                    <a:extLst>
                      <a:ext uri="{53640926-AAD7-44D8-BBD7-CCE9431645EC}">
                        <a14:shadowObscured xmlns:a14="http://schemas.microsoft.com/office/drawing/2010/main"/>
                      </a:ext>
                    </a:extLst>
                  </pic:spPr>
                </pic:pic>
              </a:graphicData>
            </a:graphic>
          </wp:inline>
        </w:drawing>
      </w:r>
    </w:p>
    <w:p w14:paraId="2FDC6B50" w14:textId="77777777" w:rsidR="00FB4111" w:rsidRPr="007F5B2C" w:rsidRDefault="00FB4111" w:rsidP="00FB4111">
      <w:pPr>
        <w:jc w:val="center"/>
        <w:rPr>
          <w:i/>
          <w:iCs/>
        </w:rPr>
      </w:pPr>
    </w:p>
    <w:p w14:paraId="38C4C43D" w14:textId="77777777" w:rsidR="00CD180D" w:rsidRPr="007F5B2C" w:rsidRDefault="00FB4111" w:rsidP="00FB4111">
      <w:pPr>
        <w:rPr>
          <w:b/>
          <w:bCs/>
          <w:i/>
          <w:iCs/>
          <w:color w:val="00B050"/>
        </w:rPr>
      </w:pPr>
      <w:r w:rsidRPr="007F5B2C">
        <w:rPr>
          <w:b/>
          <w:bCs/>
          <w:i/>
          <w:iCs/>
          <w:color w:val="00B050"/>
        </w:rPr>
        <w:t xml:space="preserve">Transition : Comment faire pour des solutions non colorées ? Y -a -t-il d’autres propriétés physiques que l’on peut comparer via un étalonnage ? </w:t>
      </w:r>
    </w:p>
    <w:p w14:paraId="46499A31" w14:textId="130373CB" w:rsidR="00CD180D" w:rsidRPr="007F5B2C" w:rsidRDefault="00CD180D" w:rsidP="00FB4111">
      <w:pPr>
        <w:rPr>
          <w:b/>
          <w:bCs/>
          <w:i/>
          <w:iCs/>
          <w:color w:val="7030A0"/>
        </w:rPr>
      </w:pPr>
      <w:r w:rsidRPr="007F5B2C">
        <w:rPr>
          <w:b/>
          <w:bCs/>
          <w:i/>
          <w:iCs/>
          <w:color w:val="7030A0"/>
        </w:rPr>
        <w:t>Diapo : sérum physiologique</w:t>
      </w:r>
    </w:p>
    <w:p w14:paraId="360DA2A5" w14:textId="6FA92050" w:rsidR="00FB4111" w:rsidRPr="007F5B2C" w:rsidRDefault="00FB4111" w:rsidP="00FB4111">
      <w:pPr>
        <w:rPr>
          <w:b/>
          <w:bCs/>
          <w:i/>
          <w:iCs/>
          <w:color w:val="00B050"/>
        </w:rPr>
      </w:pPr>
      <w:r w:rsidRPr="007F5B2C">
        <w:rPr>
          <w:b/>
          <w:bCs/>
          <w:i/>
          <w:iCs/>
          <w:color w:val="00B050"/>
        </w:rPr>
        <w:lastRenderedPageBreak/>
        <w:t xml:space="preserve">Prenons par exemple un autre produit du quotidien : le sérum physiologique. On aimerait connaitre sa teneur en NaCl. </w:t>
      </w:r>
    </w:p>
    <w:p w14:paraId="5ECCDC3A" w14:textId="77777777" w:rsidR="00FB4111" w:rsidRPr="007F5B2C" w:rsidRDefault="00FB4111" w:rsidP="00FB4111">
      <w:pPr>
        <w:rPr>
          <w:color w:val="C00000"/>
          <w:sz w:val="32"/>
          <w:szCs w:val="32"/>
        </w:rPr>
      </w:pPr>
    </w:p>
    <w:p w14:paraId="19526F1C" w14:textId="02E8A19E" w:rsidR="00983080" w:rsidRPr="007F5B2C" w:rsidRDefault="00FB4111" w:rsidP="00A44990">
      <w:pPr>
        <w:pStyle w:val="Paragraphedeliste"/>
        <w:ind w:left="1080"/>
        <w:rPr>
          <w:color w:val="C00000"/>
          <w:sz w:val="32"/>
          <w:szCs w:val="32"/>
        </w:rPr>
      </w:pPr>
      <w:r w:rsidRPr="007F5B2C">
        <w:rPr>
          <w:color w:val="C00000"/>
          <w:sz w:val="32"/>
          <w:szCs w:val="32"/>
        </w:rPr>
        <w:t>2) Dosage par conductimétrie</w:t>
      </w:r>
      <w:r w:rsidR="00460EDE" w:rsidRPr="007F5B2C">
        <w:rPr>
          <w:color w:val="C00000"/>
          <w:sz w:val="32"/>
          <w:szCs w:val="32"/>
        </w:rPr>
        <w:t xml:space="preserve"> </w:t>
      </w:r>
      <w:r w:rsidR="00460EDE" w:rsidRPr="007F5B2C">
        <w:rPr>
          <w:sz w:val="32"/>
          <w:szCs w:val="32"/>
          <w:highlight w:val="yellow"/>
        </w:rPr>
        <w:t>[3]p250</w:t>
      </w:r>
    </w:p>
    <w:p w14:paraId="7429813F" w14:textId="5B90DBDA" w:rsidR="00FB4111" w:rsidRPr="007F5B2C" w:rsidRDefault="00F2683B">
      <w:pPr>
        <w:rPr>
          <w:i/>
          <w:iCs/>
        </w:rPr>
      </w:pPr>
      <w:r w:rsidRPr="007F5B2C">
        <w:rPr>
          <w:i/>
          <w:iCs/>
        </w:rPr>
        <w:t xml:space="preserve">En </w:t>
      </w:r>
      <w:r w:rsidRPr="007F5B2C">
        <w:rPr>
          <w:b/>
          <w:bCs/>
        </w:rPr>
        <w:t xml:space="preserve">solution aqueuse, le solide ionique NaCl se dissocie en </w:t>
      </w:r>
      <w:bookmarkStart w:id="0" w:name="_Hlk41143930"/>
      <w:r w:rsidRPr="007F5B2C">
        <w:rPr>
          <w:b/>
          <w:bCs/>
        </w:rPr>
        <w:t>Na</w:t>
      </w:r>
      <w:r w:rsidRPr="007F5B2C">
        <w:rPr>
          <w:b/>
          <w:bCs/>
          <w:vertAlign w:val="superscript"/>
        </w:rPr>
        <w:t>+</w:t>
      </w:r>
      <w:r w:rsidRPr="007F5B2C">
        <w:rPr>
          <w:b/>
          <w:bCs/>
        </w:rPr>
        <w:t xml:space="preserve"> + Cl</w:t>
      </w:r>
      <w:r w:rsidRPr="007F5B2C">
        <w:rPr>
          <w:b/>
          <w:bCs/>
          <w:vertAlign w:val="superscript"/>
        </w:rPr>
        <w:t>-</w:t>
      </w:r>
      <w:r w:rsidRPr="007F5B2C">
        <w:rPr>
          <w:i/>
          <w:iCs/>
        </w:rPr>
        <w:t xml:space="preserve"> </w:t>
      </w:r>
      <w:bookmarkEnd w:id="0"/>
      <w:r w:rsidRPr="007F5B2C">
        <w:rPr>
          <w:i/>
          <w:iCs/>
        </w:rPr>
        <w:t xml:space="preserve">et la </w:t>
      </w:r>
      <w:r w:rsidRPr="007F5B2C">
        <w:t xml:space="preserve">solution </w:t>
      </w:r>
      <w:r w:rsidRPr="007F5B2C">
        <w:rPr>
          <w:b/>
          <w:bCs/>
        </w:rPr>
        <w:t xml:space="preserve">peut laisser passer un courant électrique </w:t>
      </w:r>
      <w:r w:rsidRPr="007F5B2C">
        <w:rPr>
          <w:i/>
          <w:iCs/>
        </w:rPr>
        <w:t>grâle aux mouvements de ces ions en solution</w:t>
      </w:r>
      <w:r w:rsidR="00460EDE" w:rsidRPr="007F5B2C">
        <w:rPr>
          <w:i/>
          <w:iCs/>
        </w:rPr>
        <w:t xml:space="preserve"> = solution électrolytique</w:t>
      </w:r>
      <w:r w:rsidRPr="007F5B2C">
        <w:rPr>
          <w:i/>
          <w:iCs/>
        </w:rPr>
        <w:t xml:space="preserve">. </w:t>
      </w:r>
    </w:p>
    <w:p w14:paraId="3C8ED611" w14:textId="1EFBBC62" w:rsidR="00F2683B" w:rsidRPr="007F5B2C" w:rsidRDefault="00F2683B">
      <w:pPr>
        <w:rPr>
          <w:b/>
          <w:bCs/>
        </w:rPr>
      </w:pPr>
      <w:r w:rsidRPr="007F5B2C">
        <w:rPr>
          <w:i/>
          <w:iCs/>
        </w:rPr>
        <w:t xml:space="preserve">Il est alors possible de mesurer la concentration de la solution en ces ions en mesurant la facilité de passage du courant électrique </w:t>
      </w:r>
      <w:r w:rsidR="00D470DE" w:rsidRPr="007F5B2C">
        <w:rPr>
          <w:i/>
          <w:iCs/>
        </w:rPr>
        <w:t>cad la</w:t>
      </w:r>
      <w:r w:rsidR="00AC63B3" w:rsidRPr="007F5B2C">
        <w:rPr>
          <w:i/>
          <w:iCs/>
        </w:rPr>
        <w:t xml:space="preserve"> </w:t>
      </w:r>
      <w:r w:rsidR="00D470DE" w:rsidRPr="007F5B2C">
        <w:rPr>
          <w:b/>
          <w:bCs/>
          <w:u w:val="single"/>
        </w:rPr>
        <w:t>conductivité</w:t>
      </w:r>
      <w:r w:rsidR="00D470DE" w:rsidRPr="007F5B2C">
        <w:rPr>
          <w:i/>
          <w:iCs/>
        </w:rPr>
        <w:t xml:space="preserve"> de </w:t>
      </w:r>
      <w:r w:rsidR="00AC63B3" w:rsidRPr="007F5B2C">
        <w:rPr>
          <w:i/>
          <w:iCs/>
        </w:rPr>
        <w:t xml:space="preserve">la </w:t>
      </w:r>
      <w:r w:rsidR="00D470DE" w:rsidRPr="007F5B2C">
        <w:rPr>
          <w:i/>
          <w:iCs/>
        </w:rPr>
        <w:t>solution</w:t>
      </w:r>
      <w:r w:rsidR="00460EDE" w:rsidRPr="007F5B2C">
        <w:rPr>
          <w:i/>
          <w:iCs/>
        </w:rPr>
        <w:t> </w:t>
      </w:r>
      <w:r w:rsidR="00460EDE" w:rsidRPr="007F5B2C">
        <w:rPr>
          <w:b/>
          <w:bCs/>
        </w:rPr>
        <w:t xml:space="preserve">: </w:t>
      </w:r>
      <w:r w:rsidR="00460EDE" w:rsidRPr="007F5B2C">
        <w:rPr>
          <w:rFonts w:cstheme="minorHAnsi"/>
          <w:b/>
          <w:bCs/>
        </w:rPr>
        <w:t>σ</w:t>
      </w:r>
      <w:r w:rsidR="00460EDE" w:rsidRPr="007F5B2C">
        <w:rPr>
          <w:b/>
          <w:bCs/>
        </w:rPr>
        <w:t xml:space="preserve"> en Siemens par mètre </w:t>
      </w:r>
    </w:p>
    <w:p w14:paraId="4E9AEB96" w14:textId="3AF4C58C" w:rsidR="00D470DE" w:rsidRPr="007F5B2C" w:rsidRDefault="00D470DE" w:rsidP="00D470DE">
      <w:pPr>
        <w:pStyle w:val="Paragraphedeliste"/>
        <w:numPr>
          <w:ilvl w:val="0"/>
          <w:numId w:val="6"/>
        </w:numPr>
        <w:rPr>
          <w:i/>
          <w:iCs/>
        </w:rPr>
      </w:pPr>
      <w:r w:rsidRPr="007F5B2C">
        <w:rPr>
          <w:b/>
          <w:bCs/>
          <w:u w:val="single"/>
        </w:rPr>
        <w:t xml:space="preserve">Loi de Kohlrausch </w:t>
      </w:r>
      <w:r w:rsidRPr="007F5B2C">
        <w:t>par analogie avec la loi de Beer-Lambert </w:t>
      </w:r>
      <w:r w:rsidRPr="007F5B2C">
        <w:rPr>
          <w:b/>
          <w:bCs/>
          <w:u w:val="single"/>
        </w:rPr>
        <w:t>:</w:t>
      </w:r>
    </w:p>
    <w:p w14:paraId="3CB20867" w14:textId="7C9A7C7C" w:rsidR="00D470DE" w:rsidRPr="007F5B2C" w:rsidRDefault="00D470DE" w:rsidP="00D470DE">
      <w:pPr>
        <w:rPr>
          <w:b/>
          <w:bCs/>
          <w:i/>
          <w:iCs/>
          <w:color w:val="7030A0"/>
        </w:rPr>
      </w:pPr>
      <w:r w:rsidRPr="007F5B2C">
        <w:rPr>
          <w:b/>
          <w:bCs/>
          <w:i/>
          <w:iCs/>
          <w:color w:val="7030A0"/>
        </w:rPr>
        <w:t>Diapo : Loi de Kohlrausch</w:t>
      </w:r>
    </w:p>
    <w:p w14:paraId="159F3CDF" w14:textId="4559BEFF" w:rsidR="00AC63B3" w:rsidRPr="007F5B2C" w:rsidRDefault="00AC63B3" w:rsidP="00D470DE">
      <w:pPr>
        <w:rPr>
          <w:rFonts w:cstheme="minorHAnsi"/>
        </w:rPr>
      </w:pPr>
      <w:r w:rsidRPr="007F5B2C">
        <w:rPr>
          <w:rFonts w:cstheme="minorHAnsi"/>
        </w:rPr>
        <w:t>λ</w:t>
      </w:r>
      <w:r w:rsidRPr="007F5B2C">
        <w:rPr>
          <w:rFonts w:cstheme="minorHAnsi"/>
          <w:vertAlign w:val="subscript"/>
        </w:rPr>
        <w:t>A</w:t>
      </w:r>
      <w:r w:rsidRPr="007F5B2C">
        <w:t xml:space="preserve"> = </w:t>
      </w:r>
      <w:r w:rsidRPr="007F5B2C">
        <w:rPr>
          <w:rFonts w:cstheme="minorHAnsi"/>
        </w:rPr>
        <w:t xml:space="preserve">conductivité </w:t>
      </w:r>
      <w:r w:rsidR="00460EDE" w:rsidRPr="007F5B2C">
        <w:rPr>
          <w:rFonts w:cstheme="minorHAnsi"/>
        </w:rPr>
        <w:t xml:space="preserve">ionique </w:t>
      </w:r>
      <w:r w:rsidRPr="007F5B2C">
        <w:rPr>
          <w:rFonts w:cstheme="minorHAnsi"/>
        </w:rPr>
        <w:t xml:space="preserve">molaire </w:t>
      </w:r>
      <w:r w:rsidR="00460EDE" w:rsidRPr="007F5B2C">
        <w:rPr>
          <w:rFonts w:cstheme="minorHAnsi"/>
        </w:rPr>
        <w:t>de l’espèce A, dépend de A et de la température</w:t>
      </w:r>
    </w:p>
    <w:p w14:paraId="1F0121DE" w14:textId="23B86000" w:rsidR="00460EDE" w:rsidRPr="007F5B2C" w:rsidRDefault="009E4C02" w:rsidP="00D470DE">
      <w:pPr>
        <w:rPr>
          <w:i/>
          <w:iCs/>
          <w:color w:val="4472C4" w:themeColor="accent1"/>
        </w:rPr>
      </w:pPr>
      <w:r w:rsidRPr="007F5B2C">
        <w:rPr>
          <w:i/>
          <w:iCs/>
          <w:color w:val="4472C4" w:themeColor="accent1"/>
        </w:rPr>
        <w:t xml:space="preserve">Rq : </w:t>
      </w:r>
      <w:r w:rsidRPr="007F5B2C">
        <w:rPr>
          <w:rFonts w:cstheme="minorHAnsi"/>
          <w:b/>
          <w:bCs/>
          <w:color w:val="4472C4" w:themeColor="accent1"/>
        </w:rPr>
        <w:t xml:space="preserve">σ = </w:t>
      </w:r>
      <w:r w:rsidRPr="007F5B2C">
        <w:rPr>
          <w:rFonts w:ascii="French Script MT" w:hAnsi="French Script MT"/>
          <w:b/>
          <w:bCs/>
          <w:color w:val="4472C4" w:themeColor="accent1"/>
          <w:sz w:val="28"/>
          <w:szCs w:val="28"/>
        </w:rPr>
        <w:t>l</w:t>
      </w:r>
      <w:r w:rsidRPr="007F5B2C">
        <w:rPr>
          <w:rFonts w:ascii="Times New Roman" w:hAnsi="Times New Roman" w:cs="Times New Roman"/>
          <w:b/>
          <w:bCs/>
          <w:color w:val="4472C4" w:themeColor="accent1"/>
          <w:sz w:val="28"/>
          <w:szCs w:val="28"/>
        </w:rPr>
        <w:t xml:space="preserve"> </w:t>
      </w:r>
      <w:r w:rsidRPr="007F5B2C">
        <w:rPr>
          <w:rFonts w:ascii="Times New Roman" w:hAnsi="Times New Roman" w:cs="Times New Roman"/>
          <w:b/>
          <w:bCs/>
          <w:color w:val="4472C4" w:themeColor="accent1"/>
        </w:rPr>
        <w:t>/(S.R) = K/R</w:t>
      </w:r>
    </w:p>
    <w:p w14:paraId="765E4EA4" w14:textId="319FB3E5" w:rsidR="00D470DE" w:rsidRPr="007F5B2C" w:rsidRDefault="00D470DE" w:rsidP="00D470DE">
      <w:pPr>
        <w:rPr>
          <w:b/>
          <w:bCs/>
          <w:i/>
          <w:iCs/>
          <w:color w:val="7030A0"/>
        </w:rPr>
      </w:pPr>
      <w:r w:rsidRPr="007F5B2C">
        <w:rPr>
          <w:b/>
          <w:bCs/>
          <w:i/>
          <w:iCs/>
          <w:color w:val="7030A0"/>
        </w:rPr>
        <w:t xml:space="preserve">Diapo : </w:t>
      </w:r>
      <w:r w:rsidR="00AC63B3" w:rsidRPr="007F5B2C">
        <w:rPr>
          <w:b/>
          <w:bCs/>
          <w:i/>
          <w:iCs/>
          <w:color w:val="7030A0"/>
        </w:rPr>
        <w:t>Dispositif expérimentale</w:t>
      </w:r>
      <w:r w:rsidRPr="007F5B2C">
        <w:rPr>
          <w:b/>
          <w:bCs/>
          <w:i/>
          <w:iCs/>
          <w:color w:val="7030A0"/>
        </w:rPr>
        <w:t xml:space="preserve"> </w:t>
      </w:r>
    </w:p>
    <w:p w14:paraId="56C5334E" w14:textId="62DC4C80" w:rsidR="009E4C02" w:rsidRPr="007F5B2C" w:rsidRDefault="009E4C02" w:rsidP="00D470DE">
      <w:pPr>
        <w:rPr>
          <w:i/>
          <w:iCs/>
        </w:rPr>
      </w:pPr>
      <w:r w:rsidRPr="007F5B2C">
        <w:rPr>
          <w:i/>
          <w:iCs/>
        </w:rPr>
        <w:t xml:space="preserve">Le conductimètre est un ohmmètre modifié qui détermine la conductivité de la solution en mesurant la résistance R , celle-ci en imposant une ddp entre les deux plaques (doit rester faible pour ne pas ioniser la solution). </w:t>
      </w:r>
    </w:p>
    <w:p w14:paraId="0EE85183" w14:textId="2B8BE711" w:rsidR="009E4C02" w:rsidRPr="007F5B2C" w:rsidRDefault="009E4C02" w:rsidP="00D470DE">
      <w:pPr>
        <w:rPr>
          <w:i/>
          <w:iCs/>
          <w:color w:val="0070C0"/>
        </w:rPr>
      </w:pPr>
      <w:r w:rsidRPr="007F5B2C">
        <w:rPr>
          <w:i/>
          <w:iCs/>
        </w:rPr>
        <w:t xml:space="preserve">Comme avec le spectrophotomètre, il faut étalonner le conductimètre car la conductivité mesurée dépend de la cellule conductimétrique utilisée. Il faut donc mesurer la conductivité d’une solution dont cette dernière est connue à la température de travail. </w:t>
      </w:r>
      <w:r w:rsidRPr="007F5B2C">
        <w:rPr>
          <w:i/>
          <w:iCs/>
          <w:color w:val="0070C0"/>
        </w:rPr>
        <w:t xml:space="preserve">Généralement KCl à une concentration donné. </w:t>
      </w:r>
    </w:p>
    <w:p w14:paraId="312C30A6" w14:textId="45CBA146" w:rsidR="009E4C02" w:rsidRPr="007F5B2C" w:rsidRDefault="00D96D2E" w:rsidP="00D470DE">
      <w:pPr>
        <w:rPr>
          <w:i/>
          <w:iCs/>
        </w:rPr>
      </w:pPr>
      <w:r w:rsidRPr="007F5B2C">
        <w:rPr>
          <w:i/>
          <w:iCs/>
        </w:rPr>
        <w:t xml:space="preserve">Comme précédemment, pour déterminer la concentration en NaCl du sérum physiologique, on mesure la conductivité de solution de NaCl à différente concentration, on trace la droite d’étalonnage puis on mesure la conductivité du sérum et on en déduit la concentration. </w:t>
      </w:r>
    </w:p>
    <w:p w14:paraId="2FF6D312" w14:textId="2B0C2ECF" w:rsidR="00D96D2E" w:rsidRPr="007F5B2C" w:rsidRDefault="00D96D2E" w:rsidP="00D470DE">
      <w:pPr>
        <w:rPr>
          <w:i/>
          <w:iCs/>
        </w:rPr>
      </w:pPr>
    </w:p>
    <w:p w14:paraId="0497D7F4" w14:textId="5AA0E360" w:rsidR="00CD180D" w:rsidRPr="007F5B2C" w:rsidRDefault="00CD180D" w:rsidP="00D470DE">
      <w:pPr>
        <w:rPr>
          <w:b/>
          <w:bCs/>
          <w:i/>
          <w:iCs/>
          <w:color w:val="7030A0"/>
        </w:rPr>
      </w:pPr>
      <w:r w:rsidRPr="007F5B2C">
        <w:rPr>
          <w:b/>
          <w:bCs/>
          <w:i/>
          <w:iCs/>
          <w:color w:val="7030A0"/>
        </w:rPr>
        <w:t>Diapo : dosage par étalonnage</w:t>
      </w:r>
    </w:p>
    <w:p w14:paraId="0D6C89CD" w14:textId="264A1F19" w:rsidR="00D96D2E" w:rsidRPr="007F5B2C" w:rsidRDefault="00D96D2E" w:rsidP="00D470DE">
      <w:pPr>
        <w:rPr>
          <w:b/>
          <w:bCs/>
          <w:i/>
          <w:iCs/>
          <w:color w:val="00B050"/>
        </w:rPr>
      </w:pPr>
      <w:r w:rsidRPr="007F5B2C">
        <w:rPr>
          <w:b/>
          <w:bCs/>
          <w:i/>
          <w:iCs/>
          <w:color w:val="00B050"/>
        </w:rPr>
        <w:t xml:space="preserve">Transition : L’étalonnage est efficace mais lent  et  nécessite d’avoir une solution de l’espèce que l’on veut doser  au laboratoire. Il existe une autre méthode de dosage : le dosage par titrage. </w:t>
      </w:r>
    </w:p>
    <w:p w14:paraId="3D274335" w14:textId="0A053703" w:rsidR="00CD180D" w:rsidRPr="007F5B2C" w:rsidRDefault="00CD180D" w:rsidP="00CD180D">
      <w:pPr>
        <w:rPr>
          <w:b/>
          <w:bCs/>
          <w:i/>
          <w:iCs/>
          <w:color w:val="00B050"/>
        </w:rPr>
      </w:pPr>
    </w:p>
    <w:p w14:paraId="051C2A69" w14:textId="166AA46E" w:rsidR="00CD180D" w:rsidRPr="007F5B2C" w:rsidRDefault="00CD180D" w:rsidP="00CD180D">
      <w:pPr>
        <w:pStyle w:val="Paragraphedeliste"/>
        <w:numPr>
          <w:ilvl w:val="0"/>
          <w:numId w:val="3"/>
        </w:numPr>
        <w:rPr>
          <w:color w:val="C00000"/>
          <w:sz w:val="32"/>
          <w:szCs w:val="32"/>
        </w:rPr>
      </w:pPr>
      <w:r w:rsidRPr="007F5B2C">
        <w:rPr>
          <w:color w:val="C00000"/>
          <w:sz w:val="32"/>
          <w:szCs w:val="32"/>
        </w:rPr>
        <w:t>Dosage par titrage</w:t>
      </w:r>
    </w:p>
    <w:p w14:paraId="1432C324" w14:textId="0795A6AA" w:rsidR="00CD180D" w:rsidRDefault="00CD180D" w:rsidP="00CD180D">
      <w:pPr>
        <w:pStyle w:val="Paragraphedeliste"/>
        <w:numPr>
          <w:ilvl w:val="0"/>
          <w:numId w:val="7"/>
        </w:numPr>
        <w:rPr>
          <w:color w:val="C00000"/>
          <w:sz w:val="32"/>
          <w:szCs w:val="32"/>
        </w:rPr>
      </w:pPr>
      <w:r w:rsidRPr="007F5B2C">
        <w:rPr>
          <w:color w:val="C00000"/>
          <w:sz w:val="32"/>
          <w:szCs w:val="32"/>
        </w:rPr>
        <w:t>Principe et réaction support</w:t>
      </w:r>
    </w:p>
    <w:p w14:paraId="4E782151" w14:textId="77777777" w:rsidR="00823456" w:rsidRPr="007F5B2C" w:rsidRDefault="00823456" w:rsidP="00823456">
      <w:pPr>
        <w:rPr>
          <w:i/>
          <w:iCs/>
        </w:rPr>
      </w:pPr>
      <w:r w:rsidRPr="007F5B2C">
        <w:rPr>
          <w:i/>
          <w:iCs/>
        </w:rPr>
        <w:t>On présente ici le dosage par titrage conductimétrique du sérum physiologique</w:t>
      </w:r>
    </w:p>
    <w:p w14:paraId="71A30101" w14:textId="77777777" w:rsidR="00823456" w:rsidRPr="007F5B2C" w:rsidRDefault="00823456" w:rsidP="00823456">
      <w:pPr>
        <w:rPr>
          <w:b/>
          <w:bCs/>
          <w:i/>
          <w:iCs/>
          <w:color w:val="7030A0"/>
        </w:rPr>
      </w:pPr>
      <w:r w:rsidRPr="007F5B2C">
        <w:rPr>
          <w:b/>
          <w:bCs/>
          <w:i/>
          <w:iCs/>
          <w:color w:val="7030A0"/>
        </w:rPr>
        <w:t>Diapo : Dispositif de titrage</w:t>
      </w:r>
    </w:p>
    <w:p w14:paraId="156A88BD" w14:textId="77777777" w:rsidR="00823456" w:rsidRPr="007F5B2C" w:rsidRDefault="00823456" w:rsidP="00823456">
      <w:pPr>
        <w:rPr>
          <w:b/>
          <w:bCs/>
          <w:u w:val="single"/>
        </w:rPr>
      </w:pPr>
      <w:r w:rsidRPr="007F5B2C">
        <w:rPr>
          <w:b/>
          <w:bCs/>
          <w:u w:val="single"/>
        </w:rPr>
        <w:t>Dèf : Titrage :</w:t>
      </w:r>
      <w:r w:rsidRPr="007F5B2C">
        <w:rPr>
          <w:b/>
          <w:bCs/>
        </w:rPr>
        <w:t xml:space="preserve"> vise à doser une espèce chimique en solution par l’intermédiaire d’une ou plusieurs réactions chimiques. Lorsque le dosage ne met en jeu qu’une seule réaction chimique, on parle de </w:t>
      </w:r>
      <w:r w:rsidRPr="007F5B2C">
        <w:rPr>
          <w:b/>
          <w:bCs/>
          <w:u w:val="single"/>
        </w:rPr>
        <w:t xml:space="preserve">titrage direct. </w:t>
      </w:r>
      <w:r w:rsidRPr="007F5B2C">
        <w:rPr>
          <w:b/>
          <w:bCs/>
          <w:highlight w:val="yellow"/>
        </w:rPr>
        <w:t>[4]p475</w:t>
      </w:r>
    </w:p>
    <w:p w14:paraId="330C7A6D" w14:textId="77777777" w:rsidR="00823456" w:rsidRPr="007F5B2C" w:rsidRDefault="00823456" w:rsidP="00823456"/>
    <w:p w14:paraId="00C1712E" w14:textId="77777777" w:rsidR="00823456" w:rsidRPr="007F5B2C" w:rsidRDefault="00823456" w:rsidP="00823456">
      <w:r w:rsidRPr="007F5B2C">
        <w:t xml:space="preserve">On fait alors réagir l’espèce chimique à doser = espèce titrée, avec une espèce chimique de concentration connue = espèce titrante. </w:t>
      </w:r>
    </w:p>
    <w:p w14:paraId="181FB36D" w14:textId="77777777" w:rsidR="00823456" w:rsidRPr="007F5B2C" w:rsidRDefault="00823456" w:rsidP="00823456">
      <w:pPr>
        <w:rPr>
          <w:b/>
          <w:bCs/>
        </w:rPr>
      </w:pPr>
      <w:r w:rsidRPr="007F5B2C">
        <w:t xml:space="preserve">La réaction chimique en jeu est appelée </w:t>
      </w:r>
      <w:r w:rsidRPr="007F5B2C">
        <w:rPr>
          <w:b/>
          <w:bCs/>
        </w:rPr>
        <w:t xml:space="preserve">réaction support du titrage, elle doit être : </w:t>
      </w:r>
    </w:p>
    <w:p w14:paraId="13331B8B" w14:textId="77777777" w:rsidR="00823456" w:rsidRPr="007F5B2C" w:rsidRDefault="00823456" w:rsidP="00823456">
      <w:pPr>
        <w:pStyle w:val="Paragraphedeliste"/>
        <w:numPr>
          <w:ilvl w:val="0"/>
          <w:numId w:val="4"/>
        </w:numPr>
        <w:rPr>
          <w:b/>
          <w:bCs/>
        </w:rPr>
      </w:pPr>
      <w:r w:rsidRPr="007F5B2C">
        <w:rPr>
          <w:b/>
          <w:bCs/>
        </w:rPr>
        <w:t>Quantitative / totale</w:t>
      </w:r>
    </w:p>
    <w:p w14:paraId="2AB4524A" w14:textId="77777777" w:rsidR="00823456" w:rsidRPr="007F5B2C" w:rsidRDefault="00823456" w:rsidP="00823456">
      <w:pPr>
        <w:pStyle w:val="Paragraphedeliste"/>
        <w:numPr>
          <w:ilvl w:val="0"/>
          <w:numId w:val="4"/>
        </w:numPr>
        <w:rPr>
          <w:b/>
          <w:bCs/>
        </w:rPr>
      </w:pPr>
      <w:r w:rsidRPr="007F5B2C">
        <w:rPr>
          <w:b/>
          <w:bCs/>
        </w:rPr>
        <w:t>Rapide</w:t>
      </w:r>
    </w:p>
    <w:p w14:paraId="62C5B836" w14:textId="77777777" w:rsidR="00823456" w:rsidRPr="007F5B2C" w:rsidRDefault="00823456" w:rsidP="00823456">
      <w:pPr>
        <w:pStyle w:val="Paragraphedeliste"/>
        <w:numPr>
          <w:ilvl w:val="0"/>
          <w:numId w:val="4"/>
        </w:numPr>
      </w:pPr>
      <w:r w:rsidRPr="007F5B2C">
        <w:rPr>
          <w:b/>
          <w:bCs/>
        </w:rPr>
        <w:t xml:space="preserve">Univoque </w:t>
      </w:r>
      <w:r w:rsidRPr="007F5B2C">
        <w:t>(réaction uniquement entre l’espèce titrée et l’espèce titrante)</w:t>
      </w:r>
    </w:p>
    <w:p w14:paraId="5638D136" w14:textId="77777777" w:rsidR="00823456" w:rsidRPr="007F5B2C" w:rsidRDefault="00823456" w:rsidP="00823456">
      <w:pPr>
        <w:rPr>
          <w:i/>
          <w:iCs/>
        </w:rPr>
      </w:pPr>
    </w:p>
    <w:p w14:paraId="5CBEE1D4" w14:textId="77777777" w:rsidR="00823456" w:rsidRPr="007F5B2C" w:rsidRDefault="00823456" w:rsidP="00823456">
      <w:pPr>
        <w:rPr>
          <w:i/>
          <w:iCs/>
        </w:rPr>
      </w:pPr>
      <w:r w:rsidRPr="007F5B2C">
        <w:rPr>
          <w:i/>
          <w:iCs/>
        </w:rPr>
        <w:t>Dans le sérum physiologique, les ions présents sont Na</w:t>
      </w:r>
      <w:r w:rsidRPr="007F5B2C">
        <w:rPr>
          <w:i/>
          <w:iCs/>
          <w:vertAlign w:val="superscript"/>
        </w:rPr>
        <w:t>+</w:t>
      </w:r>
      <w:r w:rsidRPr="007F5B2C">
        <w:rPr>
          <w:i/>
          <w:iCs/>
        </w:rPr>
        <w:t xml:space="preserve"> et Cl</w:t>
      </w:r>
      <w:r w:rsidRPr="007F5B2C">
        <w:rPr>
          <w:i/>
          <w:iCs/>
          <w:vertAlign w:val="superscript"/>
        </w:rPr>
        <w:t>-</w:t>
      </w:r>
      <w:r w:rsidRPr="007F5B2C">
        <w:rPr>
          <w:i/>
          <w:iCs/>
        </w:rPr>
        <w:t>. Pour déterminer la concentration du sérum phy en ces ions, on titre Cl</w:t>
      </w:r>
      <w:r w:rsidRPr="007F5B2C">
        <w:rPr>
          <w:i/>
          <w:iCs/>
          <w:vertAlign w:val="superscript"/>
        </w:rPr>
        <w:t>-</w:t>
      </w:r>
      <w:r w:rsidRPr="007F5B2C">
        <w:rPr>
          <w:i/>
          <w:iCs/>
        </w:rPr>
        <w:t xml:space="preserve"> par une solution de nitrate d’argent AgNO</w:t>
      </w:r>
      <w:r w:rsidRPr="007F5B2C">
        <w:rPr>
          <w:i/>
          <w:iCs/>
          <w:vertAlign w:val="subscript"/>
        </w:rPr>
        <w:t>3</w:t>
      </w:r>
      <w:r w:rsidRPr="007F5B2C">
        <w:rPr>
          <w:b/>
          <w:bCs/>
          <w:i/>
          <w:iCs/>
        </w:rPr>
        <w:t xml:space="preserve">.  </w:t>
      </w:r>
    </w:p>
    <w:p w14:paraId="21EA5A5C" w14:textId="77777777" w:rsidR="00823456" w:rsidRPr="007F5B2C" w:rsidRDefault="00823456" w:rsidP="00823456">
      <w:pPr>
        <w:jc w:val="center"/>
        <w:rPr>
          <w:b/>
          <w:bCs/>
          <w:sz w:val="28"/>
          <w:szCs w:val="28"/>
        </w:rPr>
      </w:pPr>
      <w:r w:rsidRPr="007F5B2C">
        <w:rPr>
          <w:i/>
          <w:iCs/>
        </w:rPr>
        <w:lastRenderedPageBreak/>
        <w:t xml:space="preserve">La </w:t>
      </w:r>
      <w:r w:rsidRPr="007F5B2C">
        <w:rPr>
          <w:b/>
          <w:bCs/>
        </w:rPr>
        <w:t>réaction support</w:t>
      </w:r>
      <w:r w:rsidRPr="007F5B2C">
        <w:rPr>
          <w:i/>
          <w:iCs/>
        </w:rPr>
        <w:t xml:space="preserve"> est :  </w:t>
      </w:r>
      <w:r w:rsidRPr="007F5B2C">
        <w:rPr>
          <w:b/>
          <w:bCs/>
          <w:sz w:val="28"/>
          <w:szCs w:val="28"/>
        </w:rPr>
        <w:t>Cl</w:t>
      </w:r>
      <w:r w:rsidRPr="007F5B2C">
        <w:rPr>
          <w:b/>
          <w:bCs/>
          <w:sz w:val="28"/>
          <w:szCs w:val="28"/>
          <w:vertAlign w:val="superscript"/>
        </w:rPr>
        <w:t>-</w:t>
      </w:r>
      <w:r w:rsidRPr="007F5B2C">
        <w:rPr>
          <w:b/>
          <w:bCs/>
          <w:sz w:val="28"/>
          <w:szCs w:val="28"/>
        </w:rPr>
        <w:t>(aq) + Ag</w:t>
      </w:r>
      <w:r w:rsidRPr="007F5B2C">
        <w:rPr>
          <w:b/>
          <w:bCs/>
          <w:sz w:val="28"/>
          <w:szCs w:val="28"/>
          <w:vertAlign w:val="superscript"/>
        </w:rPr>
        <w:t>+</w:t>
      </w:r>
      <w:r w:rsidRPr="007F5B2C">
        <w:rPr>
          <w:b/>
          <w:bCs/>
          <w:sz w:val="28"/>
          <w:szCs w:val="28"/>
        </w:rPr>
        <w:t xml:space="preserve">(aq) </w:t>
      </w:r>
      <w:r w:rsidRPr="007F5B2C">
        <w:rPr>
          <w:b/>
          <w:bCs/>
          <w:sz w:val="28"/>
          <w:szCs w:val="28"/>
        </w:rPr>
        <w:sym w:font="Wingdings" w:char="F0E0"/>
      </w:r>
      <w:r w:rsidRPr="007F5B2C">
        <w:rPr>
          <w:b/>
          <w:bCs/>
          <w:sz w:val="28"/>
          <w:szCs w:val="28"/>
        </w:rPr>
        <w:t xml:space="preserve"> AgCl(s)</w:t>
      </w:r>
    </w:p>
    <w:p w14:paraId="369934D1" w14:textId="77777777" w:rsidR="00823456" w:rsidRPr="007F5B2C" w:rsidRDefault="00823456" w:rsidP="00823456">
      <w:pPr>
        <w:rPr>
          <w:i/>
          <w:iCs/>
        </w:rPr>
      </w:pPr>
    </w:p>
    <w:p w14:paraId="2E8C1503" w14:textId="77777777" w:rsidR="00823456" w:rsidRPr="007F5B2C" w:rsidRDefault="00823456" w:rsidP="00823456">
      <w:pPr>
        <w:rPr>
          <w:i/>
          <w:iCs/>
        </w:rPr>
      </w:pPr>
      <w:r w:rsidRPr="007F5B2C">
        <w:rPr>
          <w:i/>
          <w:iCs/>
        </w:rPr>
        <w:t xml:space="preserve">Ici on regarde donc l’évolution de la conductivité de la solution en fonction du volume ajouté en solution titrante. Réalisons le titrage : </w:t>
      </w:r>
    </w:p>
    <w:p w14:paraId="4F0EDAD2" w14:textId="2184B6E0" w:rsidR="00823456" w:rsidRPr="007F5B2C" w:rsidRDefault="00823456" w:rsidP="00823456">
      <w:pPr>
        <w:rPr>
          <w:b/>
          <w:bCs/>
          <w:i/>
          <w:iCs/>
          <w:color w:val="7030A0"/>
        </w:rPr>
      </w:pPr>
      <w:r w:rsidRPr="007F5B2C">
        <w:rPr>
          <w:b/>
          <w:bCs/>
          <w:i/>
          <w:iCs/>
          <w:color w:val="7030A0"/>
        </w:rPr>
        <w:t xml:space="preserve">Diapo : Dispositif de titrage </w:t>
      </w:r>
      <w:r w:rsidRPr="007F5B2C">
        <w:rPr>
          <w:b/>
          <w:bCs/>
          <w:i/>
          <w:iCs/>
          <w:color w:val="7030A0"/>
        </w:rPr>
        <w:sym w:font="Wingdings" w:char="F0E0"/>
      </w:r>
      <w:r w:rsidRPr="007F5B2C">
        <w:rPr>
          <w:b/>
          <w:bCs/>
          <w:i/>
          <w:iCs/>
          <w:color w:val="7030A0"/>
        </w:rPr>
        <w:t xml:space="preserve"> cliquer sur simulation</w:t>
      </w:r>
      <w:r w:rsidR="004702D3">
        <w:rPr>
          <w:b/>
          <w:bCs/>
          <w:i/>
          <w:iCs/>
          <w:color w:val="7030A0"/>
        </w:rPr>
        <w:t xml:space="preserve"> </w:t>
      </w:r>
      <w:r w:rsidR="004702D3" w:rsidRPr="004702D3">
        <w:rPr>
          <w:b/>
          <w:bCs/>
          <w:highlight w:val="yellow"/>
        </w:rPr>
        <w:t>[5]</w:t>
      </w:r>
    </w:p>
    <w:p w14:paraId="07ED961D" w14:textId="77777777" w:rsidR="00823456" w:rsidRPr="007F5B2C" w:rsidRDefault="00823456" w:rsidP="00823456">
      <w:pPr>
        <w:rPr>
          <w:b/>
          <w:bCs/>
          <w:i/>
          <w:iCs/>
          <w:color w:val="7030A0"/>
        </w:rPr>
      </w:pPr>
      <w:r w:rsidRPr="007F5B2C">
        <w:rPr>
          <w:b/>
          <w:bCs/>
          <w:i/>
          <w:iCs/>
          <w:color w:val="7030A0"/>
        </w:rPr>
        <w:t xml:space="preserve">Avoir déjà ouvert la simulation et mis les paramètres : </w:t>
      </w:r>
    </w:p>
    <w:p w14:paraId="40A4989F" w14:textId="77777777" w:rsidR="00823456" w:rsidRPr="007F5B2C" w:rsidRDefault="00823456" w:rsidP="00823456">
      <w:pPr>
        <w:pStyle w:val="Paragraphedeliste"/>
        <w:numPr>
          <w:ilvl w:val="0"/>
          <w:numId w:val="4"/>
        </w:numPr>
        <w:rPr>
          <w:b/>
          <w:bCs/>
          <w:i/>
          <w:iCs/>
          <w:color w:val="7030A0"/>
        </w:rPr>
      </w:pPr>
      <w:r w:rsidRPr="007F5B2C">
        <w:rPr>
          <w:b/>
          <w:bCs/>
          <w:i/>
          <w:iCs/>
          <w:color w:val="7030A0"/>
        </w:rPr>
        <w:t>Dans le bécher : soluté = chlorure de sodium / C</w:t>
      </w:r>
      <w:r w:rsidRPr="007F5B2C">
        <w:rPr>
          <w:b/>
          <w:bCs/>
          <w:i/>
          <w:iCs/>
          <w:color w:val="7030A0"/>
          <w:vertAlign w:val="subscript"/>
        </w:rPr>
        <w:t>0</w:t>
      </w:r>
      <w:r w:rsidRPr="007F5B2C">
        <w:rPr>
          <w:b/>
          <w:bCs/>
          <w:i/>
          <w:iCs/>
          <w:color w:val="7030A0"/>
        </w:rPr>
        <w:t xml:space="preserve"> =1,56.10</w:t>
      </w:r>
      <w:r w:rsidRPr="007F5B2C">
        <w:rPr>
          <w:b/>
          <w:bCs/>
          <w:i/>
          <w:iCs/>
          <w:color w:val="7030A0"/>
          <w:vertAlign w:val="superscript"/>
        </w:rPr>
        <w:t xml:space="preserve">-3 </w:t>
      </w:r>
      <w:r w:rsidRPr="007F5B2C">
        <w:rPr>
          <w:b/>
          <w:bCs/>
          <w:i/>
          <w:iCs/>
          <w:color w:val="7030A0"/>
        </w:rPr>
        <w:t>mol.L</w:t>
      </w:r>
      <w:r w:rsidRPr="007F5B2C">
        <w:rPr>
          <w:b/>
          <w:bCs/>
          <w:i/>
          <w:iCs/>
          <w:color w:val="7030A0"/>
          <w:vertAlign w:val="superscript"/>
        </w:rPr>
        <w:t>-1</w:t>
      </w:r>
      <w:r w:rsidRPr="007F5B2C">
        <w:rPr>
          <w:b/>
          <w:bCs/>
          <w:i/>
          <w:iCs/>
          <w:color w:val="7030A0"/>
        </w:rPr>
        <w:t xml:space="preserve">  / V</w:t>
      </w:r>
      <w:r w:rsidRPr="007F5B2C">
        <w:rPr>
          <w:b/>
          <w:bCs/>
          <w:i/>
          <w:iCs/>
          <w:color w:val="7030A0"/>
          <w:vertAlign w:val="subscript"/>
        </w:rPr>
        <w:t>0</w:t>
      </w:r>
      <w:r w:rsidRPr="007F5B2C">
        <w:rPr>
          <w:b/>
          <w:bCs/>
          <w:i/>
          <w:iCs/>
          <w:color w:val="7030A0"/>
        </w:rPr>
        <w:t xml:space="preserve"> = 20mL / V</w:t>
      </w:r>
      <w:r w:rsidRPr="007F5B2C">
        <w:rPr>
          <w:b/>
          <w:bCs/>
          <w:i/>
          <w:iCs/>
          <w:color w:val="7030A0"/>
          <w:vertAlign w:val="subscript"/>
        </w:rPr>
        <w:t>eau</w:t>
      </w:r>
      <w:r w:rsidRPr="007F5B2C">
        <w:rPr>
          <w:b/>
          <w:bCs/>
          <w:i/>
          <w:iCs/>
          <w:color w:val="7030A0"/>
        </w:rPr>
        <w:t xml:space="preserve">= 0mL </w:t>
      </w:r>
    </w:p>
    <w:p w14:paraId="057FED8C" w14:textId="77777777" w:rsidR="00823456" w:rsidRPr="007F5B2C" w:rsidRDefault="00823456" w:rsidP="00823456">
      <w:pPr>
        <w:pStyle w:val="Paragraphedeliste"/>
        <w:numPr>
          <w:ilvl w:val="0"/>
          <w:numId w:val="4"/>
        </w:numPr>
        <w:rPr>
          <w:b/>
          <w:bCs/>
          <w:i/>
          <w:iCs/>
          <w:color w:val="7030A0"/>
        </w:rPr>
      </w:pPr>
      <w:r w:rsidRPr="007F5B2C">
        <w:rPr>
          <w:b/>
          <w:bCs/>
          <w:i/>
          <w:iCs/>
          <w:color w:val="7030A0"/>
        </w:rPr>
        <w:t>Dans la burette : Nitrate d’argent C = 5,00.10</w:t>
      </w:r>
      <w:r w:rsidRPr="007F5B2C">
        <w:rPr>
          <w:b/>
          <w:bCs/>
          <w:i/>
          <w:iCs/>
          <w:color w:val="7030A0"/>
          <w:vertAlign w:val="superscript"/>
        </w:rPr>
        <w:t xml:space="preserve">-3 </w:t>
      </w:r>
      <w:r w:rsidRPr="007F5B2C">
        <w:rPr>
          <w:b/>
          <w:bCs/>
          <w:i/>
          <w:iCs/>
          <w:color w:val="7030A0"/>
        </w:rPr>
        <w:t>mol.L</w:t>
      </w:r>
      <w:r w:rsidRPr="007F5B2C">
        <w:rPr>
          <w:b/>
          <w:bCs/>
          <w:i/>
          <w:iCs/>
          <w:color w:val="7030A0"/>
          <w:vertAlign w:val="superscript"/>
        </w:rPr>
        <w:t>-1</w:t>
      </w:r>
    </w:p>
    <w:p w14:paraId="17C8C8E9" w14:textId="77777777" w:rsidR="00823456" w:rsidRPr="007F5B2C" w:rsidRDefault="00823456" w:rsidP="00823456">
      <w:pPr>
        <w:rPr>
          <w:i/>
          <w:iCs/>
        </w:rPr>
      </w:pPr>
      <w:r w:rsidRPr="007F5B2C">
        <w:rPr>
          <w:i/>
          <w:iCs/>
        </w:rPr>
        <w:t xml:space="preserve">Avec les restrictions de cette simulation, j’ai établi les paramètres comme si nous avions dilué par 100 le sérum physiologique. On met </w:t>
      </w:r>
      <w:r w:rsidRPr="007F5B2C">
        <w:rPr>
          <w:b/>
          <w:bCs/>
          <w:i/>
          <w:iCs/>
        </w:rPr>
        <w:t>V</w:t>
      </w:r>
      <w:r w:rsidRPr="007F5B2C">
        <w:rPr>
          <w:b/>
          <w:bCs/>
          <w:i/>
          <w:iCs/>
          <w:vertAlign w:val="subscript"/>
        </w:rPr>
        <w:t>0</w:t>
      </w:r>
      <w:r w:rsidRPr="007F5B2C">
        <w:rPr>
          <w:b/>
          <w:bCs/>
          <w:i/>
          <w:iCs/>
        </w:rPr>
        <w:t xml:space="preserve"> = 20mL</w:t>
      </w:r>
      <w:r w:rsidRPr="007F5B2C">
        <w:rPr>
          <w:i/>
          <w:iCs/>
        </w:rPr>
        <w:t xml:space="preserve"> de cette solution diluée dans le bécher. On voit que ça ne couvre pas totalement la cellule conductimétrique, on ajoute alors de l’eau. Cet ajout n’aura comme influence que de diminuer la conductivité de la solution. </w:t>
      </w:r>
    </w:p>
    <w:p w14:paraId="0CD05D34" w14:textId="77777777" w:rsidR="00823456" w:rsidRPr="007F5B2C" w:rsidRDefault="00823456" w:rsidP="00823456">
      <w:pPr>
        <w:rPr>
          <w:i/>
          <w:iCs/>
        </w:rPr>
      </w:pPr>
      <w:r w:rsidRPr="007F5B2C">
        <w:rPr>
          <w:i/>
          <w:iCs/>
        </w:rPr>
        <w:t>On met dans la burette une solution de nitrate d’argent à 5,00.10</w:t>
      </w:r>
      <w:r w:rsidRPr="007F5B2C">
        <w:rPr>
          <w:i/>
          <w:iCs/>
          <w:vertAlign w:val="superscript"/>
        </w:rPr>
        <w:t>-3</w:t>
      </w:r>
      <w:r w:rsidRPr="007F5B2C">
        <w:rPr>
          <w:i/>
          <w:iCs/>
        </w:rPr>
        <w:t xml:space="preserve"> mol.L</w:t>
      </w:r>
      <w:r w:rsidRPr="007F5B2C">
        <w:rPr>
          <w:i/>
          <w:iCs/>
          <w:vertAlign w:val="superscript"/>
        </w:rPr>
        <w:t>-1</w:t>
      </w:r>
      <w:r w:rsidRPr="007F5B2C">
        <w:rPr>
          <w:i/>
          <w:iCs/>
        </w:rPr>
        <w:t xml:space="preserve">, en faisant attention que le ménisque soit bien à 0mL. </w:t>
      </w:r>
    </w:p>
    <w:p w14:paraId="30943D1A" w14:textId="77777777" w:rsidR="00823456" w:rsidRPr="007F5B2C" w:rsidRDefault="00823456" w:rsidP="00823456">
      <w:pPr>
        <w:rPr>
          <w:b/>
          <w:bCs/>
          <w:i/>
          <w:iCs/>
          <w:color w:val="7030A0"/>
        </w:rPr>
      </w:pPr>
      <w:r w:rsidRPr="007F5B2C">
        <w:rPr>
          <w:i/>
          <w:iCs/>
        </w:rPr>
        <w:t xml:space="preserve">On ajoute ensuite goutte à goutte la solution titrante et on relève la conductivité de la solution </w:t>
      </w:r>
      <w:r w:rsidRPr="007F5B2C">
        <w:rPr>
          <w:b/>
          <w:bCs/>
          <w:color w:val="7030A0"/>
        </w:rPr>
        <w:sym w:font="Wingdings" w:char="F0E0"/>
      </w:r>
      <w:r w:rsidRPr="007F5B2C">
        <w:rPr>
          <w:b/>
          <w:bCs/>
          <w:color w:val="7030A0"/>
        </w:rPr>
        <w:t xml:space="preserve"> le </w:t>
      </w:r>
      <w:r w:rsidRPr="007F5B2C">
        <w:rPr>
          <w:b/>
          <w:bCs/>
          <w:i/>
          <w:iCs/>
          <w:color w:val="7030A0"/>
        </w:rPr>
        <w:t xml:space="preserve">faire rapidement jusqu’au changement de pente. </w:t>
      </w:r>
    </w:p>
    <w:p w14:paraId="41F8E48A" w14:textId="77777777" w:rsidR="00823456" w:rsidRPr="007F5B2C" w:rsidRDefault="00823456" w:rsidP="00823456">
      <w:r w:rsidRPr="007F5B2C">
        <w:t>On constate un changement de pente pour un volume V</w:t>
      </w:r>
      <w:r w:rsidRPr="007F5B2C">
        <w:rPr>
          <w:vertAlign w:val="subscript"/>
        </w:rPr>
        <w:t>eq</w:t>
      </w:r>
      <w:r w:rsidRPr="007F5B2C">
        <w:t xml:space="preserve"> de solution ajoutée. </w:t>
      </w:r>
    </w:p>
    <w:p w14:paraId="046450A9" w14:textId="77777777" w:rsidR="00823456" w:rsidRPr="007F5B2C" w:rsidRDefault="00823456" w:rsidP="00823456">
      <w:r w:rsidRPr="007F5B2C">
        <w:t xml:space="preserve">Que s’est-il passé ? </w:t>
      </w:r>
    </w:p>
    <w:p w14:paraId="177724A9" w14:textId="77777777" w:rsidR="00823456" w:rsidRPr="007F5B2C" w:rsidRDefault="00823456" w:rsidP="00823456">
      <w:pPr>
        <w:rPr>
          <w:b/>
          <w:bCs/>
          <w:i/>
          <w:iCs/>
          <w:color w:val="7030A0"/>
        </w:rPr>
      </w:pPr>
      <w:r w:rsidRPr="007F5B2C">
        <w:rPr>
          <w:b/>
          <w:bCs/>
          <w:i/>
          <w:iCs/>
          <w:color w:val="7030A0"/>
        </w:rPr>
        <w:t xml:space="preserve">Diapo : évolution de la conductivité en parallèle avec la courbe de conductivité </w:t>
      </w:r>
    </w:p>
    <w:p w14:paraId="50C622E3" w14:textId="77777777" w:rsidR="00823456" w:rsidRPr="007F5B2C" w:rsidRDefault="00823456" w:rsidP="00823456">
      <w:r w:rsidRPr="007F5B2C">
        <w:t>Lorsque le volume de nitrate d’argent est inférieur à V</w:t>
      </w:r>
      <w:r w:rsidRPr="007F5B2C">
        <w:rPr>
          <w:vertAlign w:val="subscript"/>
        </w:rPr>
        <w:t>eq</w:t>
      </w:r>
      <w:r w:rsidRPr="007F5B2C">
        <w:t xml:space="preserve">, la conductivité diminue. </w:t>
      </w:r>
    </w:p>
    <w:p w14:paraId="5C3540D8" w14:textId="77777777" w:rsidR="00823456" w:rsidRPr="007F5B2C" w:rsidRDefault="00823456" w:rsidP="00823456">
      <w:pPr>
        <w:pStyle w:val="Paragraphedeliste"/>
        <w:numPr>
          <w:ilvl w:val="0"/>
          <w:numId w:val="6"/>
        </w:numPr>
      </w:pPr>
      <w:r w:rsidRPr="007F5B2C">
        <w:t>Cela s’explique par le fait que le nitrate d’argent est encore le réactif limitant : à chaque ajout, Ag</w:t>
      </w:r>
      <w:r w:rsidRPr="007F5B2C">
        <w:rPr>
          <w:vertAlign w:val="superscript"/>
        </w:rPr>
        <w:t>+</w:t>
      </w:r>
      <w:r w:rsidRPr="007F5B2C">
        <w:t xml:space="preserve"> réagi avec Cl</w:t>
      </w:r>
      <w:r w:rsidRPr="007F5B2C">
        <w:rPr>
          <w:vertAlign w:val="superscript"/>
        </w:rPr>
        <w:t>-</w:t>
      </w:r>
      <w:r w:rsidRPr="007F5B2C">
        <w:t xml:space="preserve"> diminuant la concentration de celui-ci.</w:t>
      </w:r>
    </w:p>
    <w:p w14:paraId="02058B45" w14:textId="77777777" w:rsidR="00823456" w:rsidRPr="007F5B2C" w:rsidRDefault="00823456" w:rsidP="00823456">
      <w:r w:rsidRPr="007F5B2C">
        <w:t>Les ions Na</w:t>
      </w:r>
      <w:r w:rsidRPr="007F5B2C">
        <w:rPr>
          <w:vertAlign w:val="superscript"/>
        </w:rPr>
        <w:t xml:space="preserve">+ </w:t>
      </w:r>
      <w:r w:rsidRPr="007F5B2C">
        <w:t xml:space="preserve">sont spectateur, leur concentration ne changent pas lors du titrage. </w:t>
      </w:r>
    </w:p>
    <w:p w14:paraId="29BC7FA7" w14:textId="77777777" w:rsidR="00823456" w:rsidRPr="007F5B2C" w:rsidRDefault="00823456" w:rsidP="00823456">
      <w:r w:rsidRPr="007F5B2C">
        <w:t>Les ions NO</w:t>
      </w:r>
      <w:r w:rsidRPr="007F5B2C">
        <w:rPr>
          <w:vertAlign w:val="subscript"/>
        </w:rPr>
        <w:t>3</w:t>
      </w:r>
      <w:r w:rsidRPr="007F5B2C">
        <w:rPr>
          <w:vertAlign w:val="superscript"/>
        </w:rPr>
        <w:t>-</w:t>
      </w:r>
      <w:r w:rsidRPr="007F5B2C">
        <w:t xml:space="preserve"> sont spectateurs mais sont ajoutés dans le milieu, leur concentration dans le bécher augmente.  Au regard de leur conductivité ionique molaire respective, l’ajout de nitrate d’argent à ce stade fait diminuer la conductivité. </w:t>
      </w:r>
    </w:p>
    <w:p w14:paraId="3F79FC3E" w14:textId="77777777" w:rsidR="00823456" w:rsidRPr="007F5B2C" w:rsidRDefault="00823456" w:rsidP="00823456"/>
    <w:p w14:paraId="45CEA772" w14:textId="77777777" w:rsidR="00823456" w:rsidRPr="007F5B2C" w:rsidRDefault="00823456" w:rsidP="00823456">
      <w:r w:rsidRPr="007F5B2C">
        <w:t>Lorsque le volume de nitrate d’argent est supérieur à V</w:t>
      </w:r>
      <w:r w:rsidRPr="007F5B2C">
        <w:rPr>
          <w:vertAlign w:val="subscript"/>
        </w:rPr>
        <w:t>eq</w:t>
      </w:r>
      <w:r w:rsidRPr="007F5B2C">
        <w:t xml:space="preserve">, la conductivité augmente. </w:t>
      </w:r>
    </w:p>
    <w:p w14:paraId="23FAA0D9" w14:textId="77777777" w:rsidR="00823456" w:rsidRPr="007F5B2C" w:rsidRDefault="00823456" w:rsidP="00823456">
      <w:pPr>
        <w:pStyle w:val="Paragraphedeliste"/>
        <w:numPr>
          <w:ilvl w:val="0"/>
          <w:numId w:val="6"/>
        </w:numPr>
      </w:pPr>
      <w:r w:rsidRPr="007F5B2C">
        <w:t>Cela s’explique par le fait qu’il n’y a plus de Cl</w:t>
      </w:r>
      <w:r w:rsidRPr="007F5B2C">
        <w:rPr>
          <w:vertAlign w:val="superscript"/>
        </w:rPr>
        <w:t>-</w:t>
      </w:r>
      <w:r w:rsidRPr="007F5B2C">
        <w:t xml:space="preserve"> en solution pour réagir avec Ag</w:t>
      </w:r>
      <w:r w:rsidRPr="007F5B2C">
        <w:rPr>
          <w:vertAlign w:val="superscript"/>
        </w:rPr>
        <w:t>+</w:t>
      </w:r>
      <w:r w:rsidRPr="007F5B2C">
        <w:t xml:space="preserve">, ce dernier s’accumule dans le milieu, augmentant ainsi la conductivité de la solution contenue dans le bécher. </w:t>
      </w:r>
    </w:p>
    <w:p w14:paraId="60F975E7" w14:textId="77777777" w:rsidR="00823456" w:rsidRPr="007F5B2C" w:rsidRDefault="00823456" w:rsidP="00823456"/>
    <w:p w14:paraId="5D2D0D49" w14:textId="77777777" w:rsidR="00823456" w:rsidRPr="007F5B2C" w:rsidRDefault="00823456" w:rsidP="00823456">
      <w:pPr>
        <w:rPr>
          <w:b/>
          <w:bCs/>
        </w:rPr>
      </w:pPr>
      <w:r w:rsidRPr="007F5B2C">
        <w:rPr>
          <w:b/>
          <w:bCs/>
        </w:rPr>
        <w:t>Ce qui veux dire que lorsqu’on ajoute exactement un volume V</w:t>
      </w:r>
      <w:r w:rsidRPr="007F5B2C">
        <w:rPr>
          <w:b/>
          <w:bCs/>
          <w:vertAlign w:val="subscript"/>
        </w:rPr>
        <w:t>eq</w:t>
      </w:r>
      <w:r w:rsidRPr="007F5B2C">
        <w:rPr>
          <w:b/>
          <w:bCs/>
        </w:rPr>
        <w:t>, nous avons introduit autant de réactif titrant qu’il y avait de réactif à titrer dans la solution.</w:t>
      </w:r>
      <w:r w:rsidRPr="007F5B2C">
        <w:t xml:space="preserve"> </w:t>
      </w:r>
      <w:r w:rsidRPr="007F5B2C">
        <w:rPr>
          <w:b/>
          <w:bCs/>
        </w:rPr>
        <w:t xml:space="preserve">C’est l’équivalence : </w:t>
      </w:r>
    </w:p>
    <w:p w14:paraId="246398B7" w14:textId="77777777" w:rsidR="00823456" w:rsidRPr="007F5B2C" w:rsidRDefault="00823456" w:rsidP="00823456">
      <w:pPr>
        <w:jc w:val="center"/>
        <w:rPr>
          <w:b/>
          <w:bCs/>
        </w:rPr>
      </w:pPr>
      <w:r w:rsidRPr="007F5B2C">
        <w:rPr>
          <w:b/>
          <w:bCs/>
        </w:rPr>
        <w:t>n(Ag</w:t>
      </w:r>
      <w:r w:rsidRPr="007F5B2C">
        <w:rPr>
          <w:b/>
          <w:bCs/>
          <w:vertAlign w:val="superscript"/>
        </w:rPr>
        <w:t>+</w:t>
      </w:r>
      <w:r w:rsidRPr="007F5B2C">
        <w:rPr>
          <w:b/>
          <w:bCs/>
        </w:rPr>
        <w:t>) = n(Cl</w:t>
      </w:r>
      <w:r w:rsidRPr="007F5B2C">
        <w:rPr>
          <w:b/>
          <w:bCs/>
          <w:vertAlign w:val="superscript"/>
        </w:rPr>
        <w:t>-</w:t>
      </w:r>
      <w:r w:rsidRPr="007F5B2C">
        <w:rPr>
          <w:b/>
          <w:bCs/>
        </w:rPr>
        <w:t xml:space="preserve">)  </w:t>
      </w:r>
      <w:r w:rsidRPr="007F5B2C">
        <w:rPr>
          <w:b/>
          <w:bCs/>
        </w:rPr>
        <w:sym w:font="Wingdings" w:char="F0E0"/>
      </w:r>
      <w:r w:rsidRPr="007F5B2C">
        <w:rPr>
          <w:b/>
          <w:bCs/>
        </w:rPr>
        <w:t xml:space="preserve"> [Ag</w:t>
      </w:r>
      <w:r w:rsidRPr="007F5B2C">
        <w:rPr>
          <w:b/>
          <w:bCs/>
          <w:vertAlign w:val="superscript"/>
        </w:rPr>
        <w:t>+</w:t>
      </w:r>
      <w:r w:rsidRPr="007F5B2C">
        <w:rPr>
          <w:b/>
          <w:bCs/>
        </w:rPr>
        <w:t>]. V</w:t>
      </w:r>
      <w:r w:rsidRPr="007F5B2C">
        <w:rPr>
          <w:b/>
          <w:bCs/>
          <w:vertAlign w:val="subscript"/>
        </w:rPr>
        <w:t xml:space="preserve">eq </w:t>
      </w:r>
      <w:r w:rsidRPr="007F5B2C">
        <w:rPr>
          <w:b/>
          <w:bCs/>
        </w:rPr>
        <w:t xml:space="preserve"> = [Cl</w:t>
      </w:r>
      <w:r w:rsidRPr="007F5B2C">
        <w:rPr>
          <w:b/>
          <w:bCs/>
          <w:vertAlign w:val="superscript"/>
        </w:rPr>
        <w:t>-</w:t>
      </w:r>
      <w:r w:rsidRPr="007F5B2C">
        <w:rPr>
          <w:b/>
          <w:bCs/>
        </w:rPr>
        <w:t>].V</w:t>
      </w:r>
      <w:r w:rsidRPr="007F5B2C">
        <w:rPr>
          <w:b/>
          <w:bCs/>
          <w:vertAlign w:val="subscript"/>
        </w:rPr>
        <w:t>0</w:t>
      </w:r>
      <w:r w:rsidRPr="007F5B2C">
        <w:rPr>
          <w:b/>
          <w:bCs/>
        </w:rPr>
        <w:t xml:space="preserve"> </w:t>
      </w:r>
    </w:p>
    <w:p w14:paraId="1BE66D3D" w14:textId="77777777" w:rsidR="00823456" w:rsidRPr="007F5B2C" w:rsidRDefault="00823456" w:rsidP="00823456">
      <w:pPr>
        <w:jc w:val="center"/>
        <w:rPr>
          <w:b/>
          <w:bCs/>
        </w:rPr>
      </w:pPr>
    </w:p>
    <w:p w14:paraId="71F97EF2" w14:textId="77777777" w:rsidR="00823456" w:rsidRPr="007F5B2C" w:rsidRDefault="00823456" w:rsidP="00823456">
      <w:r w:rsidRPr="007F5B2C">
        <w:rPr>
          <w:b/>
          <w:bCs/>
        </w:rPr>
        <w:t xml:space="preserve">et le volume est le volume à l’équivalence. </w:t>
      </w:r>
      <w:r w:rsidRPr="007F5B2C">
        <w:rPr>
          <w:i/>
          <w:iCs/>
        </w:rPr>
        <w:t xml:space="preserve"> Il faut faire attention, ici les coefficients stœchiométriques pour les deux espèces sont les mêmes </w:t>
      </w:r>
      <w:r w:rsidRPr="007F5B2C">
        <w:t xml:space="preserve">et sont = 1. Dans le cas général il faut diviser chaque quantité de matière d’une espèce par son coefficient stœchiométrique : </w:t>
      </w:r>
    </w:p>
    <w:p w14:paraId="0B87F630" w14:textId="77777777" w:rsidR="00823456" w:rsidRPr="007F5B2C" w:rsidRDefault="00823456" w:rsidP="00823456">
      <w:pPr>
        <w:rPr>
          <w:b/>
          <w:bCs/>
        </w:rPr>
      </w:pPr>
      <w:r w:rsidRPr="007F5B2C">
        <w:t>Par exemple pour le titrage du diiode par le thiosulfate </w:t>
      </w:r>
      <w:r w:rsidRPr="007F5B2C">
        <w:rPr>
          <w:b/>
          <w:bCs/>
        </w:rPr>
        <w:t>:</w:t>
      </w:r>
    </w:p>
    <w:p w14:paraId="79FC550B" w14:textId="77777777" w:rsidR="00823456" w:rsidRPr="007F5B2C" w:rsidRDefault="00823456" w:rsidP="00823456">
      <w:pPr>
        <w:jc w:val="center"/>
        <w:rPr>
          <w:b/>
          <w:bCs/>
        </w:rPr>
      </w:pPr>
      <w:r w:rsidRPr="007F5B2C">
        <w:rPr>
          <w:b/>
          <w:bCs/>
        </w:rPr>
        <w:t>I</w:t>
      </w:r>
      <w:r w:rsidRPr="007F5B2C">
        <w:rPr>
          <w:b/>
          <w:bCs/>
          <w:vertAlign w:val="subscript"/>
        </w:rPr>
        <w:t>2(aq)</w:t>
      </w:r>
      <w:r w:rsidRPr="007F5B2C">
        <w:rPr>
          <w:b/>
          <w:bCs/>
        </w:rPr>
        <w:t xml:space="preserve"> + 2 S</w:t>
      </w:r>
      <w:r w:rsidRPr="007F5B2C">
        <w:rPr>
          <w:b/>
          <w:bCs/>
          <w:vertAlign w:val="subscript"/>
        </w:rPr>
        <w:t>2</w:t>
      </w:r>
      <w:r w:rsidRPr="007F5B2C">
        <w:rPr>
          <w:b/>
          <w:bCs/>
        </w:rPr>
        <w:t>O</w:t>
      </w:r>
      <w:r w:rsidRPr="007F5B2C">
        <w:rPr>
          <w:b/>
          <w:bCs/>
          <w:vertAlign w:val="subscript"/>
        </w:rPr>
        <w:t>3</w:t>
      </w:r>
      <w:r w:rsidRPr="007F5B2C">
        <w:rPr>
          <w:b/>
          <w:bCs/>
          <w:vertAlign w:val="superscript"/>
        </w:rPr>
        <w:t>2-</w:t>
      </w:r>
      <w:r w:rsidRPr="007F5B2C">
        <w:rPr>
          <w:b/>
          <w:bCs/>
          <w:vertAlign w:val="subscript"/>
        </w:rPr>
        <w:t>(aq)</w:t>
      </w:r>
      <w:r w:rsidRPr="007F5B2C">
        <w:rPr>
          <w:b/>
          <w:bCs/>
        </w:rPr>
        <w:t xml:space="preserve"> = S</w:t>
      </w:r>
      <w:r w:rsidRPr="007F5B2C">
        <w:rPr>
          <w:b/>
          <w:bCs/>
          <w:vertAlign w:val="subscript"/>
        </w:rPr>
        <w:t>4</w:t>
      </w:r>
      <w:r w:rsidRPr="007F5B2C">
        <w:rPr>
          <w:b/>
          <w:bCs/>
        </w:rPr>
        <w:t>O</w:t>
      </w:r>
      <w:r w:rsidRPr="007F5B2C">
        <w:rPr>
          <w:b/>
          <w:bCs/>
          <w:vertAlign w:val="subscript"/>
        </w:rPr>
        <w:t>6</w:t>
      </w:r>
      <w:r w:rsidRPr="007F5B2C">
        <w:rPr>
          <w:b/>
          <w:bCs/>
          <w:vertAlign w:val="superscript"/>
        </w:rPr>
        <w:t>2-</w:t>
      </w:r>
      <w:r w:rsidRPr="007F5B2C">
        <w:rPr>
          <w:b/>
          <w:bCs/>
          <w:vertAlign w:val="subscript"/>
        </w:rPr>
        <w:t>(aq)</w:t>
      </w:r>
      <w:r w:rsidRPr="007F5B2C">
        <w:rPr>
          <w:b/>
          <w:bCs/>
        </w:rPr>
        <w:t xml:space="preserve"> + 2 I</w:t>
      </w:r>
      <w:r w:rsidRPr="007F5B2C">
        <w:rPr>
          <w:b/>
          <w:bCs/>
          <w:vertAlign w:val="superscript"/>
        </w:rPr>
        <w:t>-</w:t>
      </w:r>
      <w:r w:rsidRPr="007F5B2C">
        <w:rPr>
          <w:b/>
          <w:bCs/>
          <w:vertAlign w:val="subscript"/>
        </w:rPr>
        <w:t>(aq) à</w:t>
      </w:r>
      <w:r w:rsidRPr="007F5B2C">
        <w:rPr>
          <w:b/>
          <w:bCs/>
        </w:rPr>
        <w:t xml:space="preserve"> l’équivalence :  n(I</w:t>
      </w:r>
      <w:r w:rsidRPr="007F5B2C">
        <w:rPr>
          <w:b/>
          <w:bCs/>
          <w:vertAlign w:val="subscript"/>
        </w:rPr>
        <w:t>2</w:t>
      </w:r>
      <w:r w:rsidRPr="007F5B2C">
        <w:rPr>
          <w:b/>
          <w:bCs/>
        </w:rPr>
        <w:t>) = n(S</w:t>
      </w:r>
      <w:r w:rsidRPr="007F5B2C">
        <w:rPr>
          <w:b/>
          <w:bCs/>
          <w:vertAlign w:val="subscript"/>
        </w:rPr>
        <w:t>2</w:t>
      </w:r>
      <w:r w:rsidRPr="007F5B2C">
        <w:rPr>
          <w:b/>
          <w:bCs/>
        </w:rPr>
        <w:t>O</w:t>
      </w:r>
      <w:r w:rsidRPr="007F5B2C">
        <w:rPr>
          <w:b/>
          <w:bCs/>
          <w:vertAlign w:val="subscript"/>
        </w:rPr>
        <w:t>3</w:t>
      </w:r>
      <w:r w:rsidRPr="007F5B2C">
        <w:rPr>
          <w:b/>
          <w:bCs/>
          <w:vertAlign w:val="superscript"/>
        </w:rPr>
        <w:t>2-</w:t>
      </w:r>
      <w:r w:rsidRPr="007F5B2C">
        <w:rPr>
          <w:b/>
          <w:bCs/>
        </w:rPr>
        <w:t>)/2</w:t>
      </w:r>
    </w:p>
    <w:p w14:paraId="60577D62" w14:textId="77777777" w:rsidR="00823456" w:rsidRPr="007F5B2C" w:rsidRDefault="00823456" w:rsidP="00823456">
      <w:pPr>
        <w:rPr>
          <w:b/>
          <w:bCs/>
        </w:rPr>
      </w:pPr>
    </w:p>
    <w:p w14:paraId="1771F225" w14:textId="77777777" w:rsidR="00823456" w:rsidRDefault="00823456" w:rsidP="00823456">
      <w:pPr>
        <w:rPr>
          <w:i/>
          <w:iCs/>
        </w:rPr>
      </w:pPr>
      <w:r w:rsidRPr="007F5B2C">
        <w:rPr>
          <w:b/>
          <w:bCs/>
        </w:rPr>
        <w:t xml:space="preserve">Dans un titrage conductimétrique, le volume à la rupture de pente correspond au volume équivalent. </w:t>
      </w:r>
      <w:r w:rsidRPr="007F5B2C">
        <w:rPr>
          <w:i/>
          <w:iCs/>
        </w:rPr>
        <w:t xml:space="preserve">On peut remonter </w:t>
      </w:r>
      <w:r>
        <w:rPr>
          <w:i/>
          <w:iCs/>
        </w:rPr>
        <w:t xml:space="preserve">alors </w:t>
      </w:r>
      <w:r w:rsidRPr="007F5B2C">
        <w:rPr>
          <w:i/>
          <w:iCs/>
        </w:rPr>
        <w:t>à la concentration de l’espèce titrée en solution</w:t>
      </w:r>
      <w:r>
        <w:rPr>
          <w:i/>
          <w:iCs/>
        </w:rPr>
        <w:t xml:space="preserve">. </w:t>
      </w:r>
    </w:p>
    <w:p w14:paraId="09632B3E" w14:textId="77777777" w:rsidR="00823456" w:rsidRDefault="00823456" w:rsidP="00823456">
      <w:pPr>
        <w:rPr>
          <w:i/>
          <w:iCs/>
        </w:rPr>
      </w:pPr>
    </w:p>
    <w:p w14:paraId="2103567A" w14:textId="1F5184AA" w:rsidR="00823456" w:rsidRPr="00180063" w:rsidRDefault="00823456" w:rsidP="00823456">
      <w:pPr>
        <w:rPr>
          <w:b/>
          <w:bCs/>
          <w:i/>
          <w:iCs/>
          <w:color w:val="00B050"/>
        </w:rPr>
      </w:pPr>
      <w:r>
        <w:rPr>
          <w:b/>
          <w:bCs/>
          <w:i/>
          <w:iCs/>
          <w:color w:val="00B050"/>
        </w:rPr>
        <w:t>Transition : Ici les espèces en solution étaient chargées. Un autre cas est le cas d’espèce acido-basique</w:t>
      </w:r>
    </w:p>
    <w:p w14:paraId="35E04520" w14:textId="77777777" w:rsidR="00823456" w:rsidRPr="00823456" w:rsidRDefault="00823456" w:rsidP="00823456">
      <w:pPr>
        <w:rPr>
          <w:color w:val="C00000"/>
          <w:sz w:val="32"/>
          <w:szCs w:val="32"/>
        </w:rPr>
      </w:pPr>
    </w:p>
    <w:p w14:paraId="07702EA0" w14:textId="78D11167" w:rsidR="00823456" w:rsidRPr="007F5B2C" w:rsidRDefault="00823456" w:rsidP="00CD180D">
      <w:pPr>
        <w:pStyle w:val="Paragraphedeliste"/>
        <w:numPr>
          <w:ilvl w:val="0"/>
          <w:numId w:val="7"/>
        </w:numPr>
        <w:rPr>
          <w:color w:val="C00000"/>
          <w:sz w:val="32"/>
          <w:szCs w:val="32"/>
        </w:rPr>
      </w:pPr>
      <w:r>
        <w:rPr>
          <w:color w:val="C00000"/>
          <w:sz w:val="32"/>
          <w:szCs w:val="32"/>
        </w:rPr>
        <w:lastRenderedPageBreak/>
        <w:t>Titrage pH-métrique</w:t>
      </w:r>
    </w:p>
    <w:p w14:paraId="77C8A2DE" w14:textId="54CB28AE" w:rsidR="00823456" w:rsidRDefault="005507FF">
      <w:pPr>
        <w:rPr>
          <w:i/>
          <w:iCs/>
        </w:rPr>
      </w:pPr>
      <w:r>
        <w:rPr>
          <w:i/>
          <w:iCs/>
        </w:rPr>
        <w:t xml:space="preserve">Prenons un </w:t>
      </w:r>
      <w:r w:rsidR="00A42C2E">
        <w:rPr>
          <w:i/>
          <w:iCs/>
        </w:rPr>
        <w:t xml:space="preserve">produit ménagé courant dans les foyers : Le Destop : produit déboucheur. </w:t>
      </w:r>
      <w:r w:rsidR="00A42C2E" w:rsidRPr="00A42C2E">
        <w:rPr>
          <w:b/>
          <w:bCs/>
          <w:highlight w:val="yellow"/>
        </w:rPr>
        <w:t>[2]</w:t>
      </w:r>
    </w:p>
    <w:p w14:paraId="536710C8" w14:textId="122A77DD" w:rsidR="00A42C2E" w:rsidRDefault="00A42C2E">
      <w:pPr>
        <w:rPr>
          <w:b/>
          <w:bCs/>
          <w:i/>
          <w:iCs/>
          <w:color w:val="7030A0"/>
        </w:rPr>
      </w:pPr>
      <w:r w:rsidRPr="00A42C2E">
        <w:rPr>
          <w:b/>
          <w:bCs/>
          <w:i/>
          <w:iCs/>
          <w:color w:val="7030A0"/>
        </w:rPr>
        <w:t>Diapo : Dosage de la soude du Destop</w:t>
      </w:r>
    </w:p>
    <w:p w14:paraId="02452724" w14:textId="22322B46" w:rsidR="00A42C2E" w:rsidRDefault="00A42C2E">
      <w:pPr>
        <w:rPr>
          <w:i/>
          <w:iCs/>
        </w:rPr>
      </w:pPr>
      <w:r>
        <w:rPr>
          <w:i/>
          <w:iCs/>
        </w:rPr>
        <w:t xml:space="preserve">Sur ces étiquettes, le produit met en avant le fait qu’il contienne de la soude. On sait que la soude est une base forte, malgré sa faible concentration en TP, on la manipule toujours avec des gants. Cependant lorsque vous faites le ménage, peu mette des gants. </w:t>
      </w:r>
    </w:p>
    <w:p w14:paraId="5F4DB4F6" w14:textId="0A9C82E0" w:rsidR="00A42C2E" w:rsidRDefault="00A42C2E">
      <w:pPr>
        <w:rPr>
          <w:i/>
          <w:iCs/>
        </w:rPr>
      </w:pPr>
      <w:r>
        <w:rPr>
          <w:i/>
          <w:iCs/>
        </w:rPr>
        <w:t xml:space="preserve">Pour savoir si ce comportement est dangereux ou non, il faut connaitre la concentration en soude de ce produit. </w:t>
      </w:r>
    </w:p>
    <w:p w14:paraId="663B80FE" w14:textId="27742DED" w:rsidR="00E26BD0" w:rsidRDefault="00E26BD0" w:rsidP="00E26BD0">
      <w:pPr>
        <w:jc w:val="center"/>
        <w:rPr>
          <w:i/>
          <w:iCs/>
        </w:rPr>
      </w:pPr>
      <w:r>
        <w:rPr>
          <w:noProof/>
        </w:rPr>
        <w:drawing>
          <wp:inline distT="0" distB="0" distL="0" distR="0" wp14:anchorId="34404FBB" wp14:editId="7BA2967D">
            <wp:extent cx="3574473" cy="1928219"/>
            <wp:effectExtent l="38100" t="38100" r="45085" b="342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3224" cy="1938334"/>
                    </a:xfrm>
                    <a:prstGeom prst="rect">
                      <a:avLst/>
                    </a:prstGeom>
                    <a:ln w="28575">
                      <a:solidFill>
                        <a:srgbClr val="0070C0"/>
                      </a:solidFill>
                    </a:ln>
                  </pic:spPr>
                </pic:pic>
              </a:graphicData>
            </a:graphic>
          </wp:inline>
        </w:drawing>
      </w:r>
    </w:p>
    <w:p w14:paraId="4D1E41DD" w14:textId="01D59291" w:rsidR="00A42C2E" w:rsidRDefault="00A42C2E">
      <w:pPr>
        <w:rPr>
          <w:i/>
          <w:iCs/>
        </w:rPr>
      </w:pPr>
      <w:r>
        <w:rPr>
          <w:i/>
          <w:iCs/>
        </w:rPr>
        <w:t>On fait pour cela un dosage par titrage pH-métrique</w:t>
      </w:r>
      <w:r w:rsidR="00E26BD0">
        <w:rPr>
          <w:i/>
          <w:iCs/>
        </w:rPr>
        <w:t xml:space="preserve"> d’une solution diluée de Destop</w:t>
      </w:r>
      <w:r>
        <w:rPr>
          <w:i/>
          <w:iCs/>
        </w:rPr>
        <w:t xml:space="preserve">. </w:t>
      </w:r>
      <w:r w:rsidRPr="00A42C2E">
        <w:rPr>
          <w:i/>
          <w:iCs/>
          <w:color w:val="0070C0"/>
        </w:rPr>
        <w:t>Comme le conductimètre, le pH-mètre nécessite d’être étalonné avec des solutions étalons.</w:t>
      </w:r>
    </w:p>
    <w:p w14:paraId="1FB85274" w14:textId="24E83022" w:rsidR="00E26BD0" w:rsidRDefault="00E26BD0">
      <w:pPr>
        <w:rPr>
          <w:i/>
          <w:iCs/>
        </w:rPr>
      </w:pPr>
      <w:r>
        <w:rPr>
          <w:i/>
          <w:iCs/>
        </w:rPr>
        <w:t xml:space="preserve">On dilue par 100 une solution de Destop et on Introduit 20mL de cette solution diluée dans le bécher. </w:t>
      </w:r>
    </w:p>
    <w:p w14:paraId="5BE9A38E" w14:textId="21FDBF5E" w:rsidR="00A42C2E" w:rsidRDefault="00E26BD0">
      <w:pPr>
        <w:rPr>
          <w:i/>
          <w:iCs/>
        </w:rPr>
      </w:pPr>
      <w:r>
        <w:rPr>
          <w:i/>
          <w:iCs/>
        </w:rPr>
        <w:t xml:space="preserve">La réaction de support du titrage est celle du Destop avec de l’acide chloridrique à 0,1mol/L. </w:t>
      </w:r>
    </w:p>
    <w:p w14:paraId="1EA3408F" w14:textId="380117EE" w:rsidR="00A60A14" w:rsidRPr="00A60A14" w:rsidRDefault="00A60A14" w:rsidP="00A60A14">
      <w:pPr>
        <w:jc w:val="center"/>
        <w:rPr>
          <w:b/>
          <w:bCs/>
        </w:rPr>
      </w:pPr>
      <w:r w:rsidRPr="00A60A14">
        <w:rPr>
          <w:b/>
          <w:bCs/>
        </w:rPr>
        <w:t>HO</w:t>
      </w:r>
      <w:r w:rsidRPr="00A60A14">
        <w:rPr>
          <w:b/>
          <w:bCs/>
          <w:vertAlign w:val="superscript"/>
        </w:rPr>
        <w:t>-</w:t>
      </w:r>
      <w:r w:rsidRPr="00A60A14">
        <w:rPr>
          <w:b/>
          <w:bCs/>
        </w:rPr>
        <w:t xml:space="preserve"> + H</w:t>
      </w:r>
      <w:r w:rsidRPr="00A60A14">
        <w:rPr>
          <w:b/>
          <w:bCs/>
          <w:vertAlign w:val="subscript"/>
        </w:rPr>
        <w:t>3</w:t>
      </w:r>
      <w:r w:rsidRPr="00A60A14">
        <w:rPr>
          <w:b/>
          <w:bCs/>
        </w:rPr>
        <w:t>O</w:t>
      </w:r>
      <w:r w:rsidRPr="00A60A14">
        <w:rPr>
          <w:b/>
          <w:bCs/>
          <w:vertAlign w:val="superscript"/>
        </w:rPr>
        <w:t xml:space="preserve">+ </w:t>
      </w:r>
      <w:r w:rsidRPr="00A60A14">
        <w:rPr>
          <w:b/>
          <w:bCs/>
        </w:rPr>
        <w:t xml:space="preserve"> </w:t>
      </w:r>
      <w:r w:rsidRPr="00A60A14">
        <w:rPr>
          <w:b/>
          <w:bCs/>
        </w:rPr>
        <w:sym w:font="Wingdings" w:char="F0E0"/>
      </w:r>
      <w:r w:rsidRPr="00A60A14">
        <w:rPr>
          <w:b/>
          <w:bCs/>
        </w:rPr>
        <w:t xml:space="preserve"> 2H</w:t>
      </w:r>
      <w:r w:rsidRPr="00A60A14">
        <w:rPr>
          <w:b/>
          <w:bCs/>
          <w:vertAlign w:val="subscript"/>
        </w:rPr>
        <w:t>2</w:t>
      </w:r>
      <w:r w:rsidRPr="00A60A14">
        <w:rPr>
          <w:b/>
          <w:bCs/>
        </w:rPr>
        <w:t xml:space="preserve">O </w:t>
      </w:r>
    </w:p>
    <w:p w14:paraId="40785F16" w14:textId="295FBDB6" w:rsidR="00E26BD0" w:rsidRPr="007F5B2C" w:rsidRDefault="00E26BD0" w:rsidP="00E26BD0">
      <w:pPr>
        <w:rPr>
          <w:b/>
          <w:bCs/>
          <w:i/>
          <w:iCs/>
          <w:color w:val="7030A0"/>
        </w:rPr>
      </w:pPr>
      <w:r w:rsidRPr="007F5B2C">
        <w:rPr>
          <w:b/>
          <w:bCs/>
          <w:i/>
          <w:iCs/>
          <w:color w:val="7030A0"/>
        </w:rPr>
        <w:t xml:space="preserve">Diapo : </w:t>
      </w:r>
      <w:r>
        <w:rPr>
          <w:b/>
          <w:bCs/>
          <w:i/>
          <w:iCs/>
          <w:color w:val="7030A0"/>
        </w:rPr>
        <w:t>Dosage de la soude du Destop</w:t>
      </w:r>
      <w:r w:rsidRPr="007F5B2C">
        <w:rPr>
          <w:b/>
          <w:bCs/>
          <w:i/>
          <w:iCs/>
          <w:color w:val="7030A0"/>
        </w:rPr>
        <w:t xml:space="preserve"> </w:t>
      </w:r>
      <w:r w:rsidRPr="007F5B2C">
        <w:rPr>
          <w:b/>
          <w:bCs/>
          <w:i/>
          <w:iCs/>
          <w:color w:val="7030A0"/>
        </w:rPr>
        <w:sym w:font="Wingdings" w:char="F0E0"/>
      </w:r>
      <w:r w:rsidRPr="007F5B2C">
        <w:rPr>
          <w:b/>
          <w:bCs/>
          <w:i/>
          <w:iCs/>
          <w:color w:val="7030A0"/>
        </w:rPr>
        <w:t xml:space="preserve"> cliquer sur simulation</w:t>
      </w:r>
      <w:r w:rsidR="004702D3">
        <w:rPr>
          <w:b/>
          <w:bCs/>
          <w:i/>
          <w:iCs/>
          <w:color w:val="7030A0"/>
        </w:rPr>
        <w:t xml:space="preserve"> </w:t>
      </w:r>
      <w:r w:rsidR="004702D3" w:rsidRPr="004702D3">
        <w:rPr>
          <w:b/>
          <w:bCs/>
          <w:highlight w:val="yellow"/>
        </w:rPr>
        <w:t>[5]</w:t>
      </w:r>
    </w:p>
    <w:p w14:paraId="64E4975F" w14:textId="58FDA97C" w:rsidR="00E26BD0" w:rsidRPr="007F5B2C" w:rsidRDefault="00E26BD0" w:rsidP="00E26BD0">
      <w:pPr>
        <w:rPr>
          <w:b/>
          <w:bCs/>
          <w:i/>
          <w:iCs/>
          <w:color w:val="7030A0"/>
        </w:rPr>
      </w:pPr>
      <w:r w:rsidRPr="007F5B2C">
        <w:rPr>
          <w:b/>
          <w:bCs/>
          <w:i/>
          <w:iCs/>
          <w:color w:val="7030A0"/>
        </w:rPr>
        <w:t>Avoir déjà ouvert la simulation</w:t>
      </w:r>
      <w:r>
        <w:rPr>
          <w:b/>
          <w:bCs/>
          <w:i/>
          <w:iCs/>
          <w:color w:val="7030A0"/>
        </w:rPr>
        <w:t xml:space="preserve">, </w:t>
      </w:r>
      <w:r w:rsidRPr="007F5B2C">
        <w:rPr>
          <w:b/>
          <w:bCs/>
          <w:i/>
          <w:iCs/>
          <w:color w:val="7030A0"/>
        </w:rPr>
        <w:t>mis les paramètres </w:t>
      </w:r>
      <w:r w:rsidR="004702D3">
        <w:rPr>
          <w:b/>
          <w:bCs/>
          <w:i/>
          <w:iCs/>
          <w:color w:val="7030A0"/>
        </w:rPr>
        <w:t xml:space="preserve">suivant et avancé jusqu’à juste avant l’équivalence </w:t>
      </w:r>
      <w:r w:rsidRPr="007F5B2C">
        <w:rPr>
          <w:b/>
          <w:bCs/>
          <w:i/>
          <w:iCs/>
          <w:color w:val="7030A0"/>
        </w:rPr>
        <w:t xml:space="preserve">: </w:t>
      </w:r>
    </w:p>
    <w:p w14:paraId="3090032F" w14:textId="0E76DA01" w:rsidR="00E26BD0" w:rsidRPr="007F5B2C" w:rsidRDefault="00E26BD0" w:rsidP="00E26BD0">
      <w:pPr>
        <w:pStyle w:val="Paragraphedeliste"/>
        <w:numPr>
          <w:ilvl w:val="0"/>
          <w:numId w:val="4"/>
        </w:numPr>
        <w:rPr>
          <w:b/>
          <w:bCs/>
          <w:i/>
          <w:iCs/>
          <w:color w:val="7030A0"/>
        </w:rPr>
      </w:pPr>
      <w:r w:rsidRPr="007F5B2C">
        <w:rPr>
          <w:b/>
          <w:bCs/>
          <w:i/>
          <w:iCs/>
          <w:color w:val="7030A0"/>
        </w:rPr>
        <w:t xml:space="preserve">Dans le bécher : soluté = </w:t>
      </w:r>
      <w:r w:rsidR="004702D3">
        <w:rPr>
          <w:b/>
          <w:bCs/>
          <w:i/>
          <w:iCs/>
          <w:color w:val="7030A0"/>
        </w:rPr>
        <w:t xml:space="preserve">hydroxyde de sodium </w:t>
      </w:r>
      <w:r w:rsidRPr="007F5B2C">
        <w:rPr>
          <w:b/>
          <w:bCs/>
          <w:i/>
          <w:iCs/>
          <w:color w:val="7030A0"/>
        </w:rPr>
        <w:t>/ C</w:t>
      </w:r>
      <w:r w:rsidRPr="007F5B2C">
        <w:rPr>
          <w:b/>
          <w:bCs/>
          <w:i/>
          <w:iCs/>
          <w:color w:val="7030A0"/>
          <w:vertAlign w:val="subscript"/>
        </w:rPr>
        <w:t>0</w:t>
      </w:r>
      <w:r w:rsidRPr="007F5B2C">
        <w:rPr>
          <w:b/>
          <w:bCs/>
          <w:i/>
          <w:iCs/>
          <w:color w:val="7030A0"/>
        </w:rPr>
        <w:t xml:space="preserve"> =6</w:t>
      </w:r>
      <w:r w:rsidR="004702D3">
        <w:rPr>
          <w:b/>
          <w:bCs/>
          <w:i/>
          <w:iCs/>
          <w:color w:val="7030A0"/>
        </w:rPr>
        <w:t>,15</w:t>
      </w:r>
      <w:r w:rsidRPr="007F5B2C">
        <w:rPr>
          <w:b/>
          <w:bCs/>
          <w:i/>
          <w:iCs/>
          <w:color w:val="7030A0"/>
        </w:rPr>
        <w:t>.10</w:t>
      </w:r>
      <w:r w:rsidRPr="007F5B2C">
        <w:rPr>
          <w:b/>
          <w:bCs/>
          <w:i/>
          <w:iCs/>
          <w:color w:val="7030A0"/>
          <w:vertAlign w:val="superscript"/>
        </w:rPr>
        <w:t>-</w:t>
      </w:r>
      <w:r w:rsidR="004702D3">
        <w:rPr>
          <w:b/>
          <w:bCs/>
          <w:i/>
          <w:iCs/>
          <w:color w:val="7030A0"/>
          <w:vertAlign w:val="superscript"/>
        </w:rPr>
        <w:t>2</w:t>
      </w:r>
      <w:r w:rsidRPr="007F5B2C">
        <w:rPr>
          <w:b/>
          <w:bCs/>
          <w:i/>
          <w:iCs/>
          <w:color w:val="7030A0"/>
          <w:vertAlign w:val="superscript"/>
        </w:rPr>
        <w:t xml:space="preserve"> </w:t>
      </w:r>
      <w:r w:rsidRPr="007F5B2C">
        <w:rPr>
          <w:b/>
          <w:bCs/>
          <w:i/>
          <w:iCs/>
          <w:color w:val="7030A0"/>
        </w:rPr>
        <w:t>mol.L</w:t>
      </w:r>
      <w:r w:rsidRPr="007F5B2C">
        <w:rPr>
          <w:b/>
          <w:bCs/>
          <w:i/>
          <w:iCs/>
          <w:color w:val="7030A0"/>
          <w:vertAlign w:val="superscript"/>
        </w:rPr>
        <w:t>-1</w:t>
      </w:r>
      <w:r w:rsidRPr="007F5B2C">
        <w:rPr>
          <w:b/>
          <w:bCs/>
          <w:i/>
          <w:iCs/>
          <w:color w:val="7030A0"/>
        </w:rPr>
        <w:t xml:space="preserve">  / V</w:t>
      </w:r>
      <w:r w:rsidRPr="007F5B2C">
        <w:rPr>
          <w:b/>
          <w:bCs/>
          <w:i/>
          <w:iCs/>
          <w:color w:val="7030A0"/>
          <w:vertAlign w:val="subscript"/>
        </w:rPr>
        <w:t>0</w:t>
      </w:r>
      <w:r w:rsidRPr="007F5B2C">
        <w:rPr>
          <w:b/>
          <w:bCs/>
          <w:i/>
          <w:iCs/>
          <w:color w:val="7030A0"/>
        </w:rPr>
        <w:t xml:space="preserve"> = 20mL / V</w:t>
      </w:r>
      <w:r w:rsidRPr="007F5B2C">
        <w:rPr>
          <w:b/>
          <w:bCs/>
          <w:i/>
          <w:iCs/>
          <w:color w:val="7030A0"/>
          <w:vertAlign w:val="subscript"/>
        </w:rPr>
        <w:t>eau</w:t>
      </w:r>
      <w:r w:rsidRPr="007F5B2C">
        <w:rPr>
          <w:b/>
          <w:bCs/>
          <w:i/>
          <w:iCs/>
          <w:color w:val="7030A0"/>
        </w:rPr>
        <w:t xml:space="preserve">= 0mL </w:t>
      </w:r>
    </w:p>
    <w:p w14:paraId="1FD6FC97" w14:textId="4B89B056" w:rsidR="00E26BD0" w:rsidRPr="007F5B2C" w:rsidRDefault="00E26BD0" w:rsidP="00E26BD0">
      <w:pPr>
        <w:pStyle w:val="Paragraphedeliste"/>
        <w:numPr>
          <w:ilvl w:val="0"/>
          <w:numId w:val="4"/>
        </w:numPr>
        <w:rPr>
          <w:b/>
          <w:bCs/>
          <w:i/>
          <w:iCs/>
          <w:color w:val="7030A0"/>
        </w:rPr>
      </w:pPr>
      <w:r w:rsidRPr="007F5B2C">
        <w:rPr>
          <w:b/>
          <w:bCs/>
          <w:i/>
          <w:iCs/>
          <w:color w:val="7030A0"/>
        </w:rPr>
        <w:t xml:space="preserve">Dans la burette : </w:t>
      </w:r>
      <w:r w:rsidR="004702D3">
        <w:rPr>
          <w:b/>
          <w:bCs/>
          <w:i/>
          <w:iCs/>
          <w:color w:val="7030A0"/>
        </w:rPr>
        <w:t>acide chlorhydrique</w:t>
      </w:r>
      <w:r w:rsidRPr="007F5B2C">
        <w:rPr>
          <w:b/>
          <w:bCs/>
          <w:i/>
          <w:iCs/>
          <w:color w:val="7030A0"/>
        </w:rPr>
        <w:t xml:space="preserve"> C = </w:t>
      </w:r>
      <w:r w:rsidR="004702D3">
        <w:rPr>
          <w:b/>
          <w:bCs/>
          <w:i/>
          <w:iCs/>
          <w:color w:val="7030A0"/>
        </w:rPr>
        <w:t>1</w:t>
      </w:r>
      <w:r w:rsidRPr="007F5B2C">
        <w:rPr>
          <w:b/>
          <w:bCs/>
          <w:i/>
          <w:iCs/>
          <w:color w:val="7030A0"/>
        </w:rPr>
        <w:t>,00.10</w:t>
      </w:r>
      <w:r w:rsidRPr="007F5B2C">
        <w:rPr>
          <w:b/>
          <w:bCs/>
          <w:i/>
          <w:iCs/>
          <w:color w:val="7030A0"/>
          <w:vertAlign w:val="superscript"/>
        </w:rPr>
        <w:t>-</w:t>
      </w:r>
      <w:r w:rsidR="004702D3">
        <w:rPr>
          <w:b/>
          <w:bCs/>
          <w:i/>
          <w:iCs/>
          <w:color w:val="7030A0"/>
          <w:vertAlign w:val="superscript"/>
        </w:rPr>
        <w:t>1</w:t>
      </w:r>
      <w:r w:rsidRPr="007F5B2C">
        <w:rPr>
          <w:b/>
          <w:bCs/>
          <w:i/>
          <w:iCs/>
          <w:color w:val="7030A0"/>
          <w:vertAlign w:val="superscript"/>
        </w:rPr>
        <w:t xml:space="preserve"> </w:t>
      </w:r>
      <w:r w:rsidRPr="007F5B2C">
        <w:rPr>
          <w:b/>
          <w:bCs/>
          <w:i/>
          <w:iCs/>
          <w:color w:val="7030A0"/>
        </w:rPr>
        <w:t>mol.L</w:t>
      </w:r>
      <w:r w:rsidRPr="007F5B2C">
        <w:rPr>
          <w:b/>
          <w:bCs/>
          <w:i/>
          <w:iCs/>
          <w:color w:val="7030A0"/>
          <w:vertAlign w:val="superscript"/>
        </w:rPr>
        <w:t>-1</w:t>
      </w:r>
    </w:p>
    <w:p w14:paraId="288BC65D" w14:textId="162A576E" w:rsidR="00E26BD0" w:rsidRDefault="00A60A14">
      <w:pPr>
        <w:rPr>
          <w:i/>
          <w:iCs/>
        </w:rPr>
      </w:pPr>
      <w:r>
        <w:rPr>
          <w:i/>
          <w:iCs/>
        </w:rPr>
        <w:t xml:space="preserve">On a déjà commencé à ajouter de la solution titrante pour que ce soit plus rapide. On ajoute donc encore de la solution titrante, on voit la le pH descend puis descend brusquement : </w:t>
      </w:r>
    </w:p>
    <w:p w14:paraId="7168E209" w14:textId="6B35DE6D" w:rsidR="00A60A14" w:rsidRDefault="00A60A14">
      <w:pPr>
        <w:rPr>
          <w:b/>
          <w:bCs/>
        </w:rPr>
      </w:pPr>
      <w:r>
        <w:rPr>
          <w:b/>
          <w:bCs/>
        </w:rPr>
        <w:t xml:space="preserve">Saut de pH. </w:t>
      </w:r>
    </w:p>
    <w:p w14:paraId="0CA2E82C" w14:textId="663641B4" w:rsidR="00A60A14" w:rsidRDefault="00A60A14">
      <w:r>
        <w:t xml:space="preserve">Pour trouver le volume à l’équivalence on peut soit faire la méthode des tangentes soit tracer la dérivée du pH en fonction du volume. </w:t>
      </w:r>
    </w:p>
    <w:p w14:paraId="4A839458" w14:textId="792213C2" w:rsidR="00A60A14" w:rsidRDefault="00A60A14">
      <w:pPr>
        <w:rPr>
          <w:b/>
          <w:bCs/>
          <w:i/>
          <w:iCs/>
          <w:color w:val="7030A0"/>
        </w:rPr>
      </w:pPr>
      <w:r>
        <w:rPr>
          <w:b/>
          <w:bCs/>
          <w:i/>
          <w:iCs/>
          <w:color w:val="7030A0"/>
        </w:rPr>
        <w:t xml:space="preserve">Montrer sur la simulation en faisant &gt;&gt; et expliquer où lire le volume à l’équivalence. </w:t>
      </w:r>
    </w:p>
    <w:p w14:paraId="2B5CF496" w14:textId="1D22EEA9" w:rsidR="00A60A14" w:rsidRDefault="00A60A14">
      <w:pPr>
        <w:rPr>
          <w:i/>
          <w:iCs/>
        </w:rPr>
      </w:pPr>
      <w:r w:rsidRPr="00A60A14">
        <w:rPr>
          <w:i/>
          <w:iCs/>
        </w:rPr>
        <w:t xml:space="preserve">Le lire </w:t>
      </w:r>
      <w:r>
        <w:rPr>
          <w:i/>
          <w:iCs/>
        </w:rPr>
        <w:t>déduire C</w:t>
      </w:r>
      <w:r>
        <w:rPr>
          <w:i/>
          <w:iCs/>
          <w:vertAlign w:val="subscript"/>
        </w:rPr>
        <w:t xml:space="preserve">0 </w:t>
      </w:r>
      <w:r>
        <w:rPr>
          <w:i/>
          <w:iCs/>
        </w:rPr>
        <w:t xml:space="preserve"> = V</w:t>
      </w:r>
      <w:r>
        <w:rPr>
          <w:i/>
          <w:iCs/>
          <w:vertAlign w:val="subscript"/>
        </w:rPr>
        <w:t>eq</w:t>
      </w:r>
      <w:r>
        <w:rPr>
          <w:i/>
          <w:iCs/>
        </w:rPr>
        <w:t>C</w:t>
      </w:r>
      <w:r>
        <w:rPr>
          <w:i/>
          <w:iCs/>
          <w:vertAlign w:val="subscript"/>
        </w:rPr>
        <w:t>1</w:t>
      </w:r>
      <w:r>
        <w:rPr>
          <w:i/>
          <w:iCs/>
        </w:rPr>
        <w:t>/V</w:t>
      </w:r>
      <w:r>
        <w:rPr>
          <w:i/>
          <w:iCs/>
          <w:vertAlign w:val="subscript"/>
        </w:rPr>
        <w:t xml:space="preserve">0 </w:t>
      </w:r>
      <w:r>
        <w:rPr>
          <w:i/>
          <w:iCs/>
        </w:rPr>
        <w:t xml:space="preserve"> = 6,15.10</w:t>
      </w:r>
      <w:r>
        <w:rPr>
          <w:i/>
          <w:iCs/>
          <w:vertAlign w:val="superscript"/>
        </w:rPr>
        <w:t>-2</w:t>
      </w:r>
      <w:r>
        <w:rPr>
          <w:i/>
          <w:iCs/>
        </w:rPr>
        <w:t xml:space="preserve">mol/L donc la concentration du Destop est de 6,15 mol/L </w:t>
      </w:r>
      <w:r w:rsidRPr="00A60A14">
        <w:rPr>
          <w:i/>
          <w:iCs/>
        </w:rPr>
        <w:sym w:font="Wingdings" w:char="F0E0"/>
      </w:r>
      <w:r>
        <w:rPr>
          <w:i/>
          <w:iCs/>
        </w:rPr>
        <w:t xml:space="preserve"> Il fat mettre des Gants et des lunettes ! D’où l’importance de considérer les pictogrammes. </w:t>
      </w:r>
    </w:p>
    <w:p w14:paraId="602A821D" w14:textId="2F3AD227" w:rsidR="00A60A14" w:rsidRPr="00FD325B" w:rsidRDefault="00A60A14">
      <w:pPr>
        <w:rPr>
          <w:i/>
          <w:iCs/>
          <w:u w:val="single"/>
        </w:rPr>
      </w:pPr>
    </w:p>
    <w:p w14:paraId="7E9CDD95" w14:textId="3D613F97" w:rsidR="00A60A14" w:rsidRPr="00FD325B" w:rsidRDefault="00A60A14">
      <w:pPr>
        <w:rPr>
          <w:b/>
          <w:bCs/>
          <w:i/>
          <w:iCs/>
          <w:color w:val="00B050"/>
        </w:rPr>
      </w:pPr>
      <w:r w:rsidRPr="00FD325B">
        <w:rPr>
          <w:b/>
          <w:bCs/>
          <w:i/>
          <w:iCs/>
          <w:color w:val="00B050"/>
          <w:u w:val="single"/>
        </w:rPr>
        <w:t>Transition</w:t>
      </w:r>
      <w:r w:rsidRPr="00FD325B">
        <w:rPr>
          <w:b/>
          <w:bCs/>
          <w:i/>
          <w:iCs/>
          <w:color w:val="00B050"/>
        </w:rPr>
        <w:t> : Si on manque de tps on peut utiliser les indicateurs colorés que l’on a déjà introduit en cours. Le pH à l’équivalence étant autour de 7, il faut choisir du bleu de bromothymol</w:t>
      </w:r>
      <w:r w:rsidR="00FD325B" w:rsidRPr="00FD325B">
        <w:rPr>
          <w:b/>
          <w:bCs/>
          <w:i/>
          <w:iCs/>
          <w:color w:val="00B050"/>
        </w:rPr>
        <w:t xml:space="preserve"> (BBT) (passage du bleu au jaune à l’équivalence.) </w:t>
      </w:r>
    </w:p>
    <w:p w14:paraId="72A1D678" w14:textId="46E82A7C" w:rsidR="00A42C2E" w:rsidRDefault="00A42C2E">
      <w:pPr>
        <w:rPr>
          <w:b/>
          <w:bCs/>
          <w:i/>
          <w:iCs/>
          <w:color w:val="00B050"/>
        </w:rPr>
      </w:pPr>
    </w:p>
    <w:p w14:paraId="53B2BB00" w14:textId="68E89787" w:rsidR="00FD325B" w:rsidRPr="00FD325B" w:rsidRDefault="00FD325B">
      <w:r>
        <w:rPr>
          <w:b/>
          <w:bCs/>
          <w:color w:val="C00000"/>
        </w:rPr>
        <w:t xml:space="preserve">CCL : </w:t>
      </w:r>
      <w:r>
        <w:t>On a vu différentes techniques de contrôle de qualité.</w:t>
      </w:r>
    </w:p>
    <w:p w14:paraId="60BC44D3" w14:textId="3E0A03E3" w:rsidR="00FD325B" w:rsidRDefault="00FD325B">
      <w:pPr>
        <w:rPr>
          <w:b/>
          <w:bCs/>
          <w:i/>
          <w:iCs/>
          <w:color w:val="7030A0"/>
        </w:rPr>
      </w:pPr>
      <w:r w:rsidRPr="00FD325B">
        <w:rPr>
          <w:b/>
          <w:bCs/>
          <w:i/>
          <w:iCs/>
          <w:color w:val="7030A0"/>
        </w:rPr>
        <w:t xml:space="preserve">Diapo : Tableau récap-comparatif </w:t>
      </w:r>
    </w:p>
    <w:p w14:paraId="2144003F" w14:textId="14CE7D6D" w:rsidR="00FD325B" w:rsidRDefault="00FD325B">
      <w:r>
        <w:t>On pourrait aller plus loin et suivre des grandeur que le pH et la conductivité ( ex : potentiométrie) ou utiliser des méthodes indirectes …</w:t>
      </w:r>
    </w:p>
    <w:p w14:paraId="50AE75E5" w14:textId="2AB5C50D" w:rsidR="00FD325B" w:rsidRPr="00FD325B" w:rsidRDefault="00FD325B">
      <w:r>
        <w:lastRenderedPageBreak/>
        <w:t xml:space="preserve">On a vérifié la teneur en espèce d’intérêt dans des produit, lors de synthèses e chimie orga, en plus du contrôle que quantité de matière, il faut faire un contrôle de pureté à travers les CCM, Tfus, spectro,… </w:t>
      </w:r>
    </w:p>
    <w:sectPr w:rsidR="00FD325B" w:rsidRPr="00FD3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C4A6F"/>
    <w:multiLevelType w:val="hybridMultilevel"/>
    <w:tmpl w:val="13A2819C"/>
    <w:lvl w:ilvl="0" w:tplc="FBF0BC7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131113"/>
    <w:multiLevelType w:val="hybridMultilevel"/>
    <w:tmpl w:val="6BBEDDF0"/>
    <w:lvl w:ilvl="0" w:tplc="E090862A">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04A297E"/>
    <w:multiLevelType w:val="hybridMultilevel"/>
    <w:tmpl w:val="9CD2A7E6"/>
    <w:lvl w:ilvl="0" w:tplc="3E802FE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F17A8C"/>
    <w:multiLevelType w:val="hybridMultilevel"/>
    <w:tmpl w:val="2F54F1E2"/>
    <w:lvl w:ilvl="0" w:tplc="1BD893F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C296574"/>
    <w:multiLevelType w:val="hybridMultilevel"/>
    <w:tmpl w:val="9CD2A7E6"/>
    <w:lvl w:ilvl="0" w:tplc="3E802FE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0B25A77"/>
    <w:multiLevelType w:val="hybridMultilevel"/>
    <w:tmpl w:val="2BFEF3BA"/>
    <w:lvl w:ilvl="0" w:tplc="05A4E844">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AB03202"/>
    <w:multiLevelType w:val="hybridMultilevel"/>
    <w:tmpl w:val="EDE061F2"/>
    <w:lvl w:ilvl="0" w:tplc="999A319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7AA4442D"/>
    <w:multiLevelType w:val="hybridMultilevel"/>
    <w:tmpl w:val="0374D33E"/>
    <w:lvl w:ilvl="0" w:tplc="F47036CE">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7"/>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33"/>
    <w:rsid w:val="00056EF0"/>
    <w:rsid w:val="000B6715"/>
    <w:rsid w:val="00180063"/>
    <w:rsid w:val="00186EDF"/>
    <w:rsid w:val="001914A2"/>
    <w:rsid w:val="001B2564"/>
    <w:rsid w:val="001B58B9"/>
    <w:rsid w:val="00260E14"/>
    <w:rsid w:val="00310B33"/>
    <w:rsid w:val="00353A84"/>
    <w:rsid w:val="00460EDE"/>
    <w:rsid w:val="004702D3"/>
    <w:rsid w:val="004D5361"/>
    <w:rsid w:val="0050414F"/>
    <w:rsid w:val="00505F56"/>
    <w:rsid w:val="005507FF"/>
    <w:rsid w:val="005E2F80"/>
    <w:rsid w:val="006477A7"/>
    <w:rsid w:val="00712083"/>
    <w:rsid w:val="00717F8D"/>
    <w:rsid w:val="0074383F"/>
    <w:rsid w:val="00784B20"/>
    <w:rsid w:val="007F54E0"/>
    <w:rsid w:val="007F5B2C"/>
    <w:rsid w:val="00823456"/>
    <w:rsid w:val="0087467E"/>
    <w:rsid w:val="008C2029"/>
    <w:rsid w:val="00983080"/>
    <w:rsid w:val="00992C11"/>
    <w:rsid w:val="009B24EA"/>
    <w:rsid w:val="009E4C02"/>
    <w:rsid w:val="00A42C2E"/>
    <w:rsid w:val="00A44990"/>
    <w:rsid w:val="00A60935"/>
    <w:rsid w:val="00A60A14"/>
    <w:rsid w:val="00A93561"/>
    <w:rsid w:val="00AA1361"/>
    <w:rsid w:val="00AC63B3"/>
    <w:rsid w:val="00C115B1"/>
    <w:rsid w:val="00C46A30"/>
    <w:rsid w:val="00C574B2"/>
    <w:rsid w:val="00C91EA1"/>
    <w:rsid w:val="00CC35F7"/>
    <w:rsid w:val="00CD180D"/>
    <w:rsid w:val="00CE4A11"/>
    <w:rsid w:val="00D470DE"/>
    <w:rsid w:val="00D47442"/>
    <w:rsid w:val="00D5697D"/>
    <w:rsid w:val="00D871A6"/>
    <w:rsid w:val="00D93A62"/>
    <w:rsid w:val="00D96D2E"/>
    <w:rsid w:val="00DA57BE"/>
    <w:rsid w:val="00E026C0"/>
    <w:rsid w:val="00E26BD0"/>
    <w:rsid w:val="00F2683B"/>
    <w:rsid w:val="00F5166D"/>
    <w:rsid w:val="00FB4111"/>
    <w:rsid w:val="00FD2E91"/>
    <w:rsid w:val="00FD325B"/>
    <w:rsid w:val="00FF34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3423"/>
  <w15:chartTrackingRefBased/>
  <w15:docId w15:val="{729E3AD2-0606-4E82-8582-C60EB299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E9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477A7"/>
    <w:rPr>
      <w:color w:val="0563C1" w:themeColor="hyperlink"/>
      <w:u w:val="single"/>
    </w:rPr>
  </w:style>
  <w:style w:type="character" w:styleId="Mentionnonrsolue">
    <w:name w:val="Unresolved Mention"/>
    <w:basedOn w:val="Policepardfaut"/>
    <w:uiPriority w:val="99"/>
    <w:semiHidden/>
    <w:unhideWhenUsed/>
    <w:rsid w:val="006477A7"/>
    <w:rPr>
      <w:color w:val="605E5C"/>
      <w:shd w:val="clear" w:color="auto" w:fill="E1DFDD"/>
    </w:rPr>
  </w:style>
  <w:style w:type="paragraph" w:styleId="Sansinterligne">
    <w:name w:val="No Spacing"/>
    <w:uiPriority w:val="1"/>
    <w:qFormat/>
    <w:rsid w:val="006477A7"/>
  </w:style>
  <w:style w:type="paragraph" w:styleId="Paragraphedeliste">
    <w:name w:val="List Paragraph"/>
    <w:basedOn w:val="Normal"/>
    <w:uiPriority w:val="34"/>
    <w:qFormat/>
    <w:rsid w:val="00505F56"/>
    <w:pPr>
      <w:ind w:left="720"/>
      <w:contextualSpacing/>
    </w:pPr>
  </w:style>
  <w:style w:type="character" w:styleId="Lienhypertextesuivivisit">
    <w:name w:val="FollowedHyperlink"/>
    <w:basedOn w:val="Policepardfaut"/>
    <w:uiPriority w:val="99"/>
    <w:semiHidden/>
    <w:unhideWhenUsed/>
    <w:rsid w:val="008234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vonslessciences.editions-hatier.fr/searchPage.php?action=4&amp;search=titrage&amp;classe=default&amp;theme=0" TargetMode="External"/><Relationship Id="rId5" Type="http://schemas.openxmlformats.org/officeDocument/2006/relationships/hyperlink" Target="http://www.physagreg.fr/CoursTS/Chimie/TP/Chimie-TP8-prof.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Personnalisé 5">
      <a:dk1>
        <a:sysClr val="windowText" lastClr="000000"/>
      </a:dk1>
      <a:lt1>
        <a:sysClr val="window" lastClr="FFFFFF"/>
      </a:lt1>
      <a:dk2>
        <a:srgbClr val="44546A"/>
      </a:dk2>
      <a:lt2>
        <a:srgbClr val="E7E6E6"/>
      </a:lt2>
      <a:accent1>
        <a:srgbClr val="4472C4"/>
      </a:accent1>
      <a:accent2>
        <a:srgbClr val="ED5009"/>
      </a:accent2>
      <a:accent3>
        <a:srgbClr val="A5A5A5"/>
      </a:accent3>
      <a:accent4>
        <a:srgbClr val="FFC000"/>
      </a:accent4>
      <a:accent5>
        <a:srgbClr val="5B9BD5"/>
      </a:accent5>
      <a:accent6>
        <a:srgbClr val="70AD47"/>
      </a:accent6>
      <a:hlink>
        <a:srgbClr val="0563C1"/>
      </a:hlink>
      <a:folHlink>
        <a:srgbClr val="954F72"/>
      </a:folHlink>
    </a:clrScheme>
    <a:fontScheme name="Personnalisé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1563</TotalTime>
  <Pages>6</Pages>
  <Words>1932</Words>
  <Characters>10630</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Eloïse Mestre</cp:lastModifiedBy>
  <cp:revision>23</cp:revision>
  <dcterms:created xsi:type="dcterms:W3CDTF">2020-05-23T09:21:00Z</dcterms:created>
  <dcterms:modified xsi:type="dcterms:W3CDTF">2020-05-24T11:27:00Z</dcterms:modified>
</cp:coreProperties>
</file>