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CoreProps" Type="http://schemas.openxmlformats.org/package/2006/relationships/metadata/core-properties" Target="docProps/core.xml"/><Relationship Id="rIdExtProps" Type="http://schemas.openxmlformats.org/officeDocument/2006/relationships/extended-properties" Target="docProps/app.xml"/><Relationship Id="rIdCredits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城市公共图书馆到馆与外借效能专项评审（2026 年上半年）</w:t>
      </w:r>
    </w:p>
    <w:p>
      <w:pPr>
        <w:pStyle w:val="BodyText"/>
      </w:pPr>
      <w:r>
        <w:t xml:space="preserve">评审时间：2026 年 7 月 22 日　　评审范围：一座总馆与八座分馆　　材料提交：读者服务部</w:t>
      </w:r>
    </w:p>
    <w:p>
      <w:pPr>
        <w:pStyle w:val="BodyText"/>
      </w:pPr>
      <w:r>
        <w:t xml:space="preserve">不看正文先看这四个数。</w:t>
      </w:r>
    </w:p>
    <w:tbl>
      <w:tblPr>
        <w:tblStyle w:val="TableGrid"/>
        <w:tblW w:w="0" w:type="auto"/>
        <w:tblBorders>
          <w:top w:val="single" w:sz="4" w:space="0" w:color="C7D5E3"/>
          <w:left w:val="single" w:sz="4" w:space="0" w:color="C7D5E3"/>
          <w:bottom w:val="single" w:sz="4" w:space="0" w:color="C7D5E3"/>
          <w:right w:val="single" w:sz="4" w:space="0" w:color="C7D5E3"/>
          <w:insideH w:val="single" w:sz="4" w:space="0" w:color="C7D5E3"/>
          <w:insideV w:val="single" w:sz="4" w:space="0" w:color="C7D5E3"/>
        </w:tblBorders>
      </w:tblPr>
      <w:tblGrid>
        <w:gridCol w:w="2167"/>
        <w:gridCol w:w="2167"/>
        <w:gridCol w:w="2167"/>
        <w:gridCol w:w="2167"/>
      </w:tblGrid>
      <w:tr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指标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上半年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去年同期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变动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月均到馆人次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46.9 万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35.4 万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+32.5%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月均外借册次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25.2 万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24.1 万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+4.6%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预约到手等待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13.2 天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9.6 天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+3.6 天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热门书在架率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45.3%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62.8%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-17.5 个百分点</w:t>
            </w:r>
          </w:p>
        </w:tc>
      </w:tr>
    </w:tbl>
    <w:p/>
    <w:p>
      <w:pPr>
        <w:pStyle w:val="BodyText"/>
      </w:pPr>
      <w:r>
        <w:t xml:space="preserve">本次评审对四个议题逐项质询：到馆与外借的背离、预约等待、新书结构、馆内空间使用。每个议题给出一句结论、一段口径与一片数据。全部数据为示例数据，用于版式与写法演示，不代表任何真实公共文化机构。</w:t>
      </w:r>
    </w:p>
    <w:p>
      <w:pPr>
        <w:pStyle w:val="Heading2"/>
      </w:pPr>
      <w:r>
        <w:t xml:space="preserve">议题一　到馆涨三成，外借只涨半成</w:t>
      </w:r>
    </w:p>
    <w:p>
      <w:pPr>
        <w:pStyle w:val="BodyText"/>
      </w:pPr>
      <w:r>
        <w:rPr>
          <w:b/>
        </w:rPr>
        <w:t xml:space="preserve">结论：月均到馆人次从 35.4 万升到 46.9 万，同期外借册次只从 24.1 万升到 25.2 万。把到馆增长当作阅读服务见效的证据，站不住：新增的人进馆之后没有把书借走。</w:t>
      </w:r>
    </w:p>
    <w:p>
      <w:pPr>
        <w:pStyle w:val="BodyText"/>
      </w:pPr>
      <w:r>
        <w:t xml:space="preserve">口径：到馆人次取闸机进馆计数，同一读卡人当日多次进出只计一次；外借册次取流通系统的成功借出记录，续借不计入，馆际互借按借出馆归属。时间窗为 2026 年 1 月 1 日至 6 月 30 日，按自然月汇总后取算术平均。两组数以馆号对齐，不做跨馆去重。</w:t>
      </w:r>
    </w:p>
    <w:p>
      <w:pPr>
        <w:pStyle w:val="BodyText"/>
      </w:pPr>
      <w:r>
        <w:t xml:space="preserve">分馆数据如下。</w:t>
      </w:r>
    </w:p>
    <w:tbl>
      <w:tblPr>
        <w:tblStyle w:val="TableGrid"/>
        <w:tblW w:w="0" w:type="auto"/>
        <w:tblBorders>
          <w:top w:val="single" w:sz="4" w:space="0" w:color="C7D5E3"/>
          <w:left w:val="single" w:sz="4" w:space="0" w:color="C7D5E3"/>
          <w:bottom w:val="single" w:sz="4" w:space="0" w:color="C7D5E3"/>
          <w:right w:val="single" w:sz="4" w:space="0" w:color="C7D5E3"/>
          <w:insideH w:val="single" w:sz="4" w:space="0" w:color="C7D5E3"/>
          <w:insideV w:val="single" w:sz="4" w:space="0" w:color="C7D5E3"/>
        </w:tblBorders>
      </w:tblPr>
      <w:tblGrid>
        <w:gridCol w:w="1444"/>
        <w:gridCol w:w="1444"/>
        <w:gridCol w:w="1444"/>
        <w:gridCol w:w="1444"/>
        <w:gridCol w:w="1444"/>
        <w:gridCol w:w="1444"/>
      </w:tblGrid>
      <w:tr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馆点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月均到馆（万人次）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去年同期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月均外借（万册次）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去年同期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本期新增自习位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总馆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14.8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10.1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6.7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6.5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260 座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城东分馆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6.2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4.3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3.1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3.0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180 座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城西分馆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5.7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4.6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3.4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3.3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40 座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城南分馆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4.9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3.8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2.6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2.5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120 座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城北分馆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4.1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3.5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2.4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2.4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0 座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高新分馆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3.8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2.4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1.9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1.8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150 座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老城分馆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2.9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2.8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2.2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0 座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滨江分馆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2.4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1.6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1.6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20 座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湖畔分馆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2.1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1.8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1.3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1.3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0 座</w:t>
            </w:r>
          </w:p>
        </w:tc>
      </w:tr>
    </w:tbl>
    <w:p/>
    <w:p>
      <w:pPr>
        <w:pStyle w:val="BodyText"/>
      </w:pPr>
      <w:r>
        <w:t xml:space="preserve">下图把全网口径的到馆人次与外借册次放在同一时间轴上，用于判断两者是否同步抬升。</w:t>
      </w:r>
    </w:p>
    <w:p>
      <w:pPr>
        <w:jc w:val="center"/>
      </w:pPr>
      <w:r>
        <w:drawing>
          <wp:inline distT="0" distB="0" distL="0" distR="0">
            <wp:extent cx="3409950" cy="1914525"/>
            <wp:docPr id="1000" name="到馆人次与外借册次趋势"/>
            <a:graphic>
              <a:graphicData uri="http://schemas.openxmlformats.org/drawingml/2006/picture">
                <pic:pic>
                  <pic:nvPicPr>
                    <pic:cNvPr id="1000" name="image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两条线从 3 月起分岔：到馆继续上行，外借基本走平。分岔的时点与总馆、城东、高新三馆自习位改造完工的时点一致，而这三馆恰好贡献了本期到馆增量的七成。</w:t>
      </w:r>
    </w:p>
    <w:p>
      <w:pPr>
        <w:pStyle w:val="Heading2"/>
      </w:pPr>
      <w:r>
        <w:t xml:space="preserve">议题二　预约等待变长，热门书在架率同步下滑</w:t>
      </w:r>
    </w:p>
    <w:p>
      <w:pPr>
        <w:pStyle w:val="BodyText"/>
      </w:pPr>
      <w:r>
        <w:rPr>
          <w:b/>
        </w:rPr>
        <w:t xml:space="preserve">结论：预约到手等待从 9.6 天拉长到 13.2 天，热门书在架率从 62.8% 降到 45.3%。两条线同向恶化，说明缺口不在预约系统的排队规则上，而在复本数量上。</w:t>
      </w:r>
    </w:p>
    <w:p>
      <w:pPr>
        <w:pStyle w:val="BodyText"/>
      </w:pPr>
      <w:r>
        <w:t xml:space="preserve">口径：预约到手等待 = 读者提交预约至到馆取书之间的自然日数，取当月完成取书的全部预约的中位数，未取书作废的预约不计入。热门书指近 12 个月外借次数排名前 500 的题名；在架率 = 每日闭馆前该题名在任一馆点可借复本数大于零的比例，按日取值后按月平均。</w:t>
      </w:r>
    </w:p>
    <w:p>
      <w:pPr>
        <w:pStyle w:val="BodyText"/>
      </w:pPr>
      <w:r>
        <w:t xml:space="preserve">逐月数据如下。</w:t>
      </w:r>
    </w:p>
    <w:tbl>
      <w:tblPr>
        <w:tblStyle w:val="TableGrid"/>
        <w:tblW w:w="0" w:type="auto"/>
        <w:tblBorders>
          <w:top w:val="single" w:sz="4" w:space="0" w:color="C7D5E3"/>
          <w:left w:val="single" w:sz="4" w:space="0" w:color="C7D5E3"/>
          <w:bottom w:val="single" w:sz="4" w:space="0" w:color="C7D5E3"/>
          <w:right w:val="single" w:sz="4" w:space="0" w:color="C7D5E3"/>
          <w:insideH w:val="single" w:sz="4" w:space="0" w:color="C7D5E3"/>
          <w:insideV w:val="single" w:sz="4" w:space="0" w:color="C7D5E3"/>
        </w:tblBorders>
      </w:tblPr>
      <w:tblGrid>
        <w:gridCol w:w="1733"/>
        <w:gridCol w:w="1733"/>
        <w:gridCol w:w="1733"/>
        <w:gridCol w:w="1733"/>
        <w:gridCol w:w="1733"/>
      </w:tblGrid>
      <w:tr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月份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预约笔数（万笔）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到手等待中位（天）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热门书在架率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到期未取占比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1 月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3.6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9.4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63.5%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6.1%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2 月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3.1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9.1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61.0%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5.8%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3 月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4.4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11.6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52.0%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7.9%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4 月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5.2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14.2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43.0%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10.4%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5 月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5.8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16.8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35.5%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12.7%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6 月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6.1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18.3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31.0%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14.2%</w:t>
            </w:r>
          </w:p>
        </w:tc>
      </w:tr>
    </w:tbl>
    <w:p/>
    <w:p>
      <w:pPr>
        <w:pStyle w:val="BodyText"/>
      </w:pPr>
      <w:r>
        <w:t xml:space="preserve">下图把等待天数与在架率放在同一时间轴上；在架率已除以 5 折算到同一刻度，只为看两者的方向，不用于读取绝对值。</w:t>
      </w:r>
    </w:p>
    <w:p>
      <w:pPr>
        <w:jc w:val="center"/>
      </w:pPr>
      <w:r>
        <w:drawing>
          <wp:inline distT="0" distB="0" distL="0" distR="0">
            <wp:extent cx="3409950" cy="1914525"/>
            <wp:docPr id="1001" name="预约等待天数与热门书在架率趋势"/>
            <a:graphic>
              <a:graphicData uri="http://schemas.openxmlformats.org/drawingml/2006/picture">
                <pic:pic>
                  <pic:nvPicPr>
                    <pic:cNvPr id="1001" name="image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到期未取占比同期从 6.1% 升到 14.2%：等待越久，读者越不来取，取不走的复本又要重新上架，队列因此进一步拉长。这是一个自我加强的环，不会自己停下来。</w:t>
      </w:r>
    </w:p>
    <w:p>
      <w:pPr>
        <w:pStyle w:val="Heading2"/>
      </w:pPr>
      <w:r>
        <w:t xml:space="preserve">议题三　新书采购集中在两个类目</w:t>
      </w:r>
    </w:p>
    <w:p>
      <w:pPr>
        <w:pStyle w:val="BodyText"/>
      </w:pPr>
      <w:r>
        <w:rPr>
          <w:b/>
        </w:rPr>
        <w:t xml:space="preserve">结论：上半年新书采购 3.8 万册，其中文学与少儿两类占 71.4%；而外借缺口最大的社科与科技两类合计只占 12.6%。采购结构与借阅缺口是错位的。</w:t>
      </w:r>
    </w:p>
    <w:p>
      <w:pPr>
        <w:pStyle w:val="BodyText"/>
      </w:pPr>
      <w:r>
        <w:t xml:space="preserve">口径：采购册数按验收入库日期归集，捐赠与调拨不计入。缺口率 = 该类目预约未满足笔数 ÷ 该类目预约总笔数，按上半年累计计算。类目按中图法一级类合并为六档，合并规则与去年一致，本期未调整。</w:t>
      </w:r>
    </w:p>
    <w:p>
      <w:pPr>
        <w:pStyle w:val="BodyText"/>
      </w:pPr>
      <w:r>
        <w:t xml:space="preserve">分类目数据如下。</w:t>
      </w:r>
    </w:p>
    <w:tbl>
      <w:tblPr>
        <w:tblStyle w:val="TableGrid"/>
        <w:tblW w:w="0" w:type="auto"/>
        <w:tblBorders>
          <w:top w:val="single" w:sz="4" w:space="0" w:color="C7D5E3"/>
          <w:left w:val="single" w:sz="4" w:space="0" w:color="C7D5E3"/>
          <w:bottom w:val="single" w:sz="4" w:space="0" w:color="C7D5E3"/>
          <w:right w:val="single" w:sz="4" w:space="0" w:color="C7D5E3"/>
          <w:insideH w:val="single" w:sz="4" w:space="0" w:color="C7D5E3"/>
          <w:insideV w:val="single" w:sz="4" w:space="0" w:color="C7D5E3"/>
        </w:tblBorders>
      </w:tblPr>
      <w:tblGrid>
        <w:gridCol w:w="2167"/>
        <w:gridCol w:w="2167"/>
        <w:gridCol w:w="2167"/>
        <w:gridCol w:w="2167"/>
      </w:tblGrid>
      <w:tr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类目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新书采购（万册）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占采购比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预约缺口率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文学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1.62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42.6%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18.3%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少儿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1.09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28.8%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12.1%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艺术生活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0.61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16.0%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21.5%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社科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0.31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8.2%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44.7%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科技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0.17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4.4%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51.2%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合计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3.80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100%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27.9%</w:t>
            </w:r>
          </w:p>
        </w:tc>
      </w:tr>
    </w:tbl>
    <w:p/>
    <w:p>
      <w:pPr>
        <w:pStyle w:val="BodyText"/>
      </w:pPr>
      <w:r>
        <w:t xml:space="preserve">科技类缺口率最高而采购占比最低，是下半年采购计划里唯一需要单独立项的类目。</w:t>
      </w:r>
    </w:p>
    <w:p>
      <w:pPr>
        <w:pStyle w:val="Heading2"/>
      </w:pPr>
      <w:r>
        <w:t xml:space="preserve">议题四　自习位挤占了开架区动线</w:t>
      </w:r>
    </w:p>
    <w:p>
      <w:pPr>
        <w:pStyle w:val="BodyText"/>
      </w:pPr>
      <w:r>
        <w:rPr>
          <w:b/>
        </w:rPr>
        <w:t xml:space="preserve">结论：本期新增自习位 770 座，其中 610 座落在原开架区。改造后的三个馆点，开架区人均停留时长从 22 分钟降到 9 分钟，架前取书动作次数下降 46%。空间是按人次优化的，不是按借阅优化的。</w:t>
      </w:r>
    </w:p>
    <w:p>
      <w:pPr>
        <w:pStyle w:val="BodyText"/>
      </w:pPr>
      <w:r>
        <w:t xml:space="preserve">口径：停留时长与取书动作取自开架区顶部客流计数设备的匿名轨迹统计，不含身份信息；同一轨迹跨区计入各区各自的时长。改造前取 2025 年同期同设备读数，设备位置与采样频率未变，可直接比较。</w:t>
      </w:r>
    </w:p>
    <w:p>
      <w:pPr>
        <w:pStyle w:val="BodyText"/>
      </w:pPr>
      <w:r>
        <w:t xml:space="preserve">改造馆点数据如下。</w:t>
      </w:r>
    </w:p>
    <w:tbl>
      <w:tblPr>
        <w:tblStyle w:val="TableGrid"/>
        <w:tblW w:w="0" w:type="auto"/>
        <w:tblBorders>
          <w:top w:val="single" w:sz="4" w:space="0" w:color="C7D5E3"/>
          <w:left w:val="single" w:sz="4" w:space="0" w:color="C7D5E3"/>
          <w:bottom w:val="single" w:sz="4" w:space="0" w:color="C7D5E3"/>
          <w:right w:val="single" w:sz="4" w:space="0" w:color="C7D5E3"/>
          <w:insideH w:val="single" w:sz="4" w:space="0" w:color="C7D5E3"/>
          <w:insideV w:val="single" w:sz="4" w:space="0" w:color="C7D5E3"/>
        </w:tblBorders>
      </w:tblPr>
      <w:tblGrid>
        <w:gridCol w:w="1444"/>
        <w:gridCol w:w="1444"/>
        <w:gridCol w:w="1444"/>
        <w:gridCol w:w="1444"/>
        <w:gridCol w:w="1444"/>
        <w:gridCol w:w="1444"/>
      </w:tblGrid>
      <w:tr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馆点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新增自习位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落在开架区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开架区人均停留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改造前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架前取书次数同比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总馆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260 座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210 座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8 分钟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24 分钟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-52%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城东分馆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180 座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160 座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9 分钟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21 分钟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-47%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高新分馆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150 座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140 座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11 分钟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20 分钟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-38%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城南分馆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120 座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60 座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17 分钟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22 分钟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-14%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城西分馆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40 座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30 座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20 分钟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22 分钟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-6%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滨江分馆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20 座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10 座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21 分钟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22 分钟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-3%</w:t>
            </w:r>
          </w:p>
        </w:tc>
      </w:tr>
    </w:tbl>
    <w:p/>
    <w:p>
      <w:pPr>
        <w:pStyle w:val="BodyText"/>
      </w:pPr>
      <w:r>
        <w:t xml:space="preserve">开架区被削减最多的三个馆点，正是议题一里到馆增量最大的三个馆点。到馆与外借的背离在这张表上闭合了。</w:t>
      </w:r>
    </w:p>
    <w:p>
      <w:pPr>
        <w:pStyle w:val="Heading2"/>
      </w:pPr>
      <w:r>
        <w:t xml:space="preserve">待办与责任人</w:t>
      </w:r>
    </w:p>
    <w:p>
      <w:pPr>
        <w:pStyle w:val="BodyText"/>
      </w:pPr>
      <w:r>
        <w:t xml:space="preserve">待办如下。</w:t>
      </w:r>
    </w:p>
    <w:tbl>
      <w:tblPr>
        <w:tblStyle w:val="TableGrid"/>
        <w:tblW w:w="0" w:type="auto"/>
        <w:tblBorders>
          <w:top w:val="single" w:sz="4" w:space="0" w:color="C7D5E3"/>
          <w:left w:val="single" w:sz="4" w:space="0" w:color="C7D5E3"/>
          <w:bottom w:val="single" w:sz="4" w:space="0" w:color="C7D5E3"/>
          <w:right w:val="single" w:sz="4" w:space="0" w:color="C7D5E3"/>
          <w:insideH w:val="single" w:sz="4" w:space="0" w:color="C7D5E3"/>
          <w:insideV w:val="single" w:sz="4" w:space="0" w:color="C7D5E3"/>
        </w:tblBorders>
      </w:tblPr>
      <w:tblGrid>
        <w:gridCol w:w="2167"/>
        <w:gridCol w:w="2167"/>
        <w:gridCol w:w="2167"/>
        <w:gridCol w:w="2167"/>
      </w:tblGrid>
      <w:tr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事项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责任人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完成时点</w:t>
            </w:r>
          </w:p>
        </w:tc>
        <w:tc>
          <w:tcPr>
            <w:tcW w:w="0" w:type="auto"/>
            <w:shd w:val="clear" w:color="auto" w:fill="E8F0F4"/>
          </w:tcPr>
          <w:p>
            <w:pPr>
              <w:pStyle w:val="BodyText"/>
            </w:pPr>
            <w:r>
              <w:rPr>
                <w:b/>
              </w:rPr>
              <w:t xml:space="preserve">验收方式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热门书复本增补方案（社科、科技优先）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文献建设部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8 月 15 日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方案过采购委员会并下单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预约到期未取的提醒与释放规则修订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读者服务部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8 月 31 日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新规上线且未取占比回落到 8% 以下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三个改造馆点开架区动线复核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馆舍管理部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9 月 15 日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复核报告 3 份，含调整前后平面图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到馆与外借并列为主指标看板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信息技术部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9 月 30 日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看板与口径说明入库</w:t>
            </w:r>
          </w:p>
        </w:tc>
      </w:tr>
    </w:tbl>
    <w:p/>
    <w:p>
      <w:pPr>
        <w:pStyle w:val="BodyText"/>
      </w:pPr>
      <w:r>
        <w:t xml:space="preserve">（本件为 OceanLeo 第一方原创示例文档，全部数字为演示数据；两张趋势图亦为第一方原创绘制。并列数据一律排成表格，与数据评审体「一句结论紧跟一片数据」的主张一致。）</w:t>
      </w:r>
    </w:p>
    <w:sectPr>
      <w:pgSz w:w="12240" w:h="15840"/>
      <w:pgMar w:top="1361" w:right="1134" w:bottom="1361" w:left="2438" w:header="681" w:footer="681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DejaVu Sans">
    <w:family w:val="swiss"/>
    <w:pitch w:val="variable"/>
  </w:font>
  <w:font w:name="Noto Sans CJK SC">
    <w:family w:val="auto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420"/>
  <w:compat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DejaVu Sans" w:hAnsi="DejaVu Sans" w:eastAsia="Noto Sans CJK SC" w:cs="Noto Sans CJK SC"/>
        <w:sz w:val="19"/>
        <w:szCs w:val="19"/>
        <w:lang w:val="zh-CN" w:eastAsia="zh-CN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</w:style>
  <w:style w:type="paragraph" w:styleId="BodyText">
    <w:name w:val="Body Text"/>
    <w:basedOn w:val="Normal"/>
    <w:rPr>
      <w:color w:val="1F2328"/>
    </w:rPr>
  </w:style>
  <w:style w:type="paragraph" w:styleId="Heading1">
    <w:name w:val="heading 1"/>
    <w:basedOn w:val="Normal"/>
    <w:pPr>
      <w:keepNext/>
      <w:spacing w:before="300" w:after="120"/>
      <w:outlineLvl w:val="0"/>
    </w:pPr>
    <w:rPr>
      <w:b/>
      <w:color w:val="0B4F6C"/>
      <w:sz w:val="56"/>
      <w:szCs w:val="56"/>
    </w:rPr>
  </w:style>
  <w:style w:type="paragraph" w:styleId="Heading2">
    <w:name w:val="heading 2"/>
    <w:basedOn w:val="Normal"/>
    <w:pPr>
      <w:keepNext/>
      <w:spacing w:before="240" w:after="120"/>
      <w:outlineLvl w:val="1"/>
    </w:pPr>
    <w:rPr>
      <w:b/>
      <w:color w:val="0B4F6C"/>
      <w:sz w:val="34"/>
      <w:szCs w:val="34"/>
    </w:rPr>
  </w:style>
  <w:style w:type="paragraph" w:styleId="Heading3">
    <w:name w:val="heading 3"/>
    <w:basedOn w:val="Normal"/>
    <w:pPr>
      <w:keepNext/>
      <w:spacing w:before="180" w:after="120"/>
      <w:outlineLvl w:val="2"/>
    </w:pPr>
    <w:rPr>
      <w:b/>
      <w:color w:val="3C5A73"/>
      <w:sz w:val="26"/>
      <w:szCs w:val="26"/>
    </w:rPr>
  </w:style>
  <w:style w:type="table" w:styleId="TableGrid">
    <w:name w:val="Table Grid"/>
    <w:tblPr>
      <w:tblCellMar>
        <w:top w:w="72" w:type="dxa"/>
        <w:left w:w="108" w:type="dxa"/>
        <w:bottom w:w="72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Theme" Type="http://schemas.openxmlformats.org/officeDocument/2006/relationships/theme" Target="theme/theme1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Relationship Id="rId100" Type="http://schemas.openxmlformats.org/officeDocument/2006/relationships/image" Target="media/image1.png"/><Relationship Id="rId10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ceanLeo">
  <a:themeElements>
    <a:clrScheme name="OceanLeo">
      <a:dk1>
        <a:sysClr val="windowText" lastClr="1F2328"/>
      </a:dk1>
      <a:lt1>
        <a:sysClr val="window" lastClr="FFFFFF"/>
      </a:lt1>
      <a:dk2>
        <a:srgbClr val="3C5A73"/>
      </a:dk2>
      <a:lt2>
        <a:srgbClr val="E8F0F4"/>
      </a:lt2>
      <a:accent1>
        <a:srgbClr val="0B4F6C"/>
      </a:accent1>
      <a:accent2>
        <a:srgbClr val="C47323"/>
      </a:accent2>
      <a:accent3>
        <a:srgbClr val="2E8B6F"/>
      </a:accent3>
      <a:accent4>
        <a:srgbClr val="8E5BA6"/>
      </a:accent4>
      <a:accent5>
        <a:srgbClr val="CF222E"/>
      </a:accent5>
      <a:accent6>
        <a:srgbClr val="57606A"/>
      </a:accent6>
      <a:hlink>
        <a:srgbClr val="0969DA"/>
      </a:hlink>
      <a:folHlink>
        <a:srgbClr val="8250DF"/>
      </a:folHlink>
    </a:clrScheme>
    <a:fontScheme name="OceanLeo">
      <a:majorFont>
        <a:latin typeface="DejaVu Sans"/>
        <a:ea typeface="Noto Sans CJK SC"/>
        <a:cs typeface=""/>
      </a:majorFont>
      <a:minorFont>
        <a:latin typeface="DejaVu Sans"/>
        <a:ea typeface="Noto Sans CJK SC"/>
        <a:cs typeface=""/>
      </a:minorFont>
    </a:fontScheme>
    <a:fmtScheme name="OceanLe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oceanleo-tool-doc-docx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城市公共图书馆到馆与外借效能专项评审（2026 年上半年）</dc:title>
  <dc:subject>数据评审体的第二件：六张真表加两张趋势图，每个议题固定「一句结论—一段口径—一片数据」。本件同时是 docx 转 PDF 保真的实测样本。</dc:subject>
  <dc:creator>OceanLeo</dc:creator>
  <cp:lastModifiedBy>OceanLeo</cp:lastModifiedBy>
  <dcterms:created xsi:type="dcterms:W3CDTF">2026-07-29T00:00:00.000Z</dcterms:created>
  <dcterms:modified xsi:type="dcterms:W3CDTF">2026-07-29T00:00:00.000Z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ceanLeoCredits">
    <vt:lpwstr>OceanLeo (OCEANLEO-AIGEN)</vt:lpwstr>
  </property>
  <property fmtid="{D5CDD505-2E9C-101B-9397-08002B2CF9AE}" pid="3" name="OceanLeoOrderId">
    <vt:lpwstr>null</vt:lpwstr>
  </property>
  <property fmtid="{D5CDD505-2E9C-101B-9397-08002B2CF9AE}" pid="4" name="OceanLeoAssembler">
    <vt:lpwstr>ooxml</vt:lpwstr>
  </property>
</Properties>
</file>