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s" Type="http://schemas.openxmlformats.org/package/2006/relationships/metadata/core-properties" Target="docProps/core.xml"/><Relationship Id="rIdExtProps" Type="http://schemas.openxmlformats.org/officeDocument/2006/relationships/extended-properties" Target="docProps/app.xml"/><Relationship Id="rIdCredits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共享单车调度效能专项评审报告（2026 年上半年）</w:t>
      </w:r>
    </w:p>
    <w:p>
      <w:pPr>
        <w:pStyle w:val="BodyText"/>
      </w:pPr>
      <w:r>
        <w:t xml:space="preserve">评审时间：2026 年 7 月 18 日　　评审范围：六个试点城市　　材料提交：运营中心调度组</w:t>
      </w:r>
    </w:p>
    <w:p>
      <w:pPr>
        <w:pStyle w:val="BodyText"/>
      </w:pPr>
      <w:r>
        <w:t xml:space="preserve">不看正文先看这四个数。</w:t>
      </w:r>
    </w:p>
    <w:tbl>
      <w:tblPr>
        <w:tblStyle w:val="TableGrid"/>
        <w:tblW w:w="0" w:type="auto"/>
        <w:tblBorders>
          <w:top w:val="single" w:sz="4" w:space="0" w:color="C7D5E3"/>
          <w:left w:val="single" w:sz="4" w:space="0" w:color="C7D5E3"/>
          <w:bottom w:val="single" w:sz="4" w:space="0" w:color="C7D5E3"/>
          <w:right w:val="single" w:sz="4" w:space="0" w:color="C7D5E3"/>
          <w:insideH w:val="single" w:sz="4" w:space="0" w:color="C7D5E3"/>
          <w:insideV w:val="single" w:sz="4" w:space="0" w:color="C7D5E3"/>
        </w:tblBorders>
      </w:tblPr>
      <w:tblGrid>
        <w:gridCol w:w="2167"/>
        <w:gridCol w:w="2167"/>
        <w:gridCol w:w="2167"/>
        <w:gridCol w:w="2167"/>
      </w:tblGrid>
      <w:tr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指标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上半年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去年同期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变动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车均日周转次数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3.03 次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2.41 次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+25.7%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调度响应达标率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79.0%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68.5%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+10.5 个百分点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单次调度成本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4.62 元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5.31 元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-13.0%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淤积点日均数量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126 处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203 处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-37.9%</w:t>
            </w:r>
          </w:p>
        </w:tc>
      </w:tr>
    </w:tbl>
    <w:p/>
    <w:p>
      <w:pPr>
        <w:pStyle w:val="BodyText"/>
      </w:pPr>
      <w:r>
        <w:t xml:space="preserve">本次评审对四个议题逐项质询：周转效率、响应时效、成本结构、淤积治理。每个议题给出一句结论、口径说明与支撑数据。全部数据为示例数据，用于版式与写法演示，不代表任何真实运营主体。</w:t>
      </w:r>
    </w:p>
    <w:p>
      <w:pPr>
        <w:pStyle w:val="Heading2"/>
      </w:pPr>
      <w:r>
        <w:t xml:space="preserve">议题一　周转效率：涨幅集中在两个城市，其余四城未动</w:t>
      </w:r>
    </w:p>
    <w:p>
      <w:pPr>
        <w:pStyle w:val="BodyText"/>
      </w:pPr>
      <w:r>
        <w:rPr>
          <w:b/>
        </w:rPr>
        <w:t xml:space="preserve">结论：全网车均日周转从 2.41 次升至 3.03 次，但把六城拆开看，涨幅的 82% 来自 B 城与 E 城；A、C、D、F 四城的变动都在正负 0.1 次以内，属于统计噪声区间。把全网数字当作调度方法生效的证据，站不住。</w:t>
      </w:r>
    </w:p>
    <w:p>
      <w:pPr>
        <w:pStyle w:val="BodyText"/>
      </w:pPr>
      <w:r>
        <w:t xml:space="preserve">口径：车均日周转 =（当日有效骑行订单数）÷（当日在网可骑行车辆数）。统计范围为投放满 30 日的车辆，剔除故障锁定与待回收车辆。时间窗为 2026 年 1 月 1 日至 6 月 30 日，按自然日计算后取算术平均。数据来源为调度平台订单库与车辆状态快照，两者以车辆编号对齐。</w:t>
      </w:r>
    </w:p>
    <w:p>
      <w:pPr>
        <w:pStyle w:val="BodyText"/>
      </w:pPr>
      <w:r>
        <w:t xml:space="preserve">分城数据如下。</w:t>
      </w:r>
    </w:p>
    <w:tbl>
      <w:tblPr>
        <w:tblStyle w:val="TableGrid"/>
        <w:tblW w:w="0" w:type="auto"/>
        <w:tblBorders>
          <w:top w:val="single" w:sz="4" w:space="0" w:color="C7D5E3"/>
          <w:left w:val="single" w:sz="4" w:space="0" w:color="C7D5E3"/>
          <w:bottom w:val="single" w:sz="4" w:space="0" w:color="C7D5E3"/>
          <w:right w:val="single" w:sz="4" w:space="0" w:color="C7D5E3"/>
          <w:insideH w:val="single" w:sz="4" w:space="0" w:color="C7D5E3"/>
          <w:insideV w:val="single" w:sz="4" w:space="0" w:color="C7D5E3"/>
        </w:tblBorders>
      </w:tblPr>
      <w:tblGrid>
        <w:gridCol w:w="1733"/>
        <w:gridCol w:w="1733"/>
        <w:gridCol w:w="1733"/>
        <w:gridCol w:w="1733"/>
        <w:gridCol w:w="1733"/>
      </w:tblGrid>
      <w:tr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城市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上半年周转（次/车·日）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去年同期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变动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本期新增调度员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A 城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2.62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2.58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+0.04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 人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B 城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3.94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2.51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+1.43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14 人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C 城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2.47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2.44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+0.03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 人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D 城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2.31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2.38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-0.07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 人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E 城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3.88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2.36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+1.52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11 人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F 城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2.55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2.51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+0.04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 人</w:t>
            </w:r>
          </w:p>
        </w:tc>
      </w:tr>
    </w:tbl>
    <w:p/>
    <w:p>
      <w:pPr>
        <w:pStyle w:val="BodyText"/>
      </w:pPr>
      <w:r>
        <w:t xml:space="preserve">下图把全网口径的周转次数与响应达标率放在同一时间轴上，用于判断两者是否同步抬升。</w:t>
      </w:r>
    </w:p>
    <w:p>
      <w:pPr>
        <w:jc w:val="center"/>
      </w:pPr>
      <w:r>
        <w:drawing>
          <wp:inline distT="0" distB="0" distL="0" distR="0">
            <wp:extent cx="3409950" cy="1924050"/>
            <wp:docPr id="1000" name="调度周转与响应达标率趋势"/>
            <a:graphic>
              <a:graphicData uri="http://schemas.openxmlformats.org/drawingml/2006/picture">
                <pic:pic>
                  <pic:nvPicPr>
                    <pic:cNvPr id="1000" name="image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两条线在 4 月同时出现台阶，与 B、E 两城调度员到岗时间一致；这支持「人力投入是主因」，不支持「算法迭代是主因」。</w:t>
      </w:r>
    </w:p>
    <w:p>
      <w:pPr>
        <w:pStyle w:val="Heading2"/>
      </w:pPr>
      <w:r>
        <w:t xml:space="preserve">议题二　响应时效：达标率提升，但长尾变长</w:t>
      </w:r>
    </w:p>
    <w:p>
      <w:pPr>
        <w:pStyle w:val="BodyText"/>
      </w:pPr>
      <w:r>
        <w:rPr>
          <w:b/>
        </w:rPr>
        <w:t xml:space="preserve">结论：响应达标率提升 10.5 个百分点，同时 P95 响应时长从 68 分钟拉长到 81 分钟。均值改善与长尾恶化同时发生，说明调度力量被集中投向了容易达标的近距离工单。</w:t>
      </w:r>
    </w:p>
    <w:p>
      <w:pPr>
        <w:pStyle w:val="BodyText"/>
      </w:pPr>
      <w:r>
        <w:t xml:space="preserve">口径：响应时长 = 工单派发时刻至调度员到达现场扫码时刻的分钟数。达标线为 45 分钟，由 2025 年服务承诺确定，本期未调整。P95 按当月全部工单排序取第 95 百分位，不做去极值处理。跨自然日的工单计入派发当日。</w:t>
      </w:r>
    </w:p>
    <w:p>
      <w:pPr>
        <w:pStyle w:val="BodyText"/>
      </w:pPr>
      <w:r>
        <w:t xml:space="preserve">逐月数据如下。</w:t>
      </w:r>
    </w:p>
    <w:tbl>
      <w:tblPr>
        <w:tblStyle w:val="TableGrid"/>
        <w:tblW w:w="0" w:type="auto"/>
        <w:tblBorders>
          <w:top w:val="single" w:sz="4" w:space="0" w:color="C7D5E3"/>
          <w:left w:val="single" w:sz="4" w:space="0" w:color="C7D5E3"/>
          <w:bottom w:val="single" w:sz="4" w:space="0" w:color="C7D5E3"/>
          <w:right w:val="single" w:sz="4" w:space="0" w:color="C7D5E3"/>
          <w:insideH w:val="single" w:sz="4" w:space="0" w:color="C7D5E3"/>
          <w:insideV w:val="single" w:sz="4" w:space="0" w:color="C7D5E3"/>
        </w:tblBorders>
      </w:tblPr>
      <w:tblGrid>
        <w:gridCol w:w="1733"/>
        <w:gridCol w:w="1733"/>
        <w:gridCol w:w="1733"/>
        <w:gridCol w:w="1733"/>
        <w:gridCol w:w="1733"/>
      </w:tblGrid>
      <w:tr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月份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工单量（万单）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达标率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中位响应（分钟）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P95 响应（分钟）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1 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12.4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71.0%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37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68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2 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10.8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74.0%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35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70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3 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13.1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73.0%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36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72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4 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15.6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82.0%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76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5 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16.2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86.0%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29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79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6 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16.9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88.0%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81</w:t>
            </w:r>
          </w:p>
        </w:tc>
      </w:tr>
    </w:tbl>
    <w:p/>
    <w:p>
      <w:pPr>
        <w:pStyle w:val="BodyText"/>
      </w:pPr>
      <w:r>
        <w:t xml:space="preserve">建议下期把 P95 与达标率并列为主指标，只报达标率会掩盖长尾。</w:t>
      </w:r>
    </w:p>
    <w:p>
      <w:pPr>
        <w:pStyle w:val="Heading2"/>
      </w:pPr>
      <w:r>
        <w:t xml:space="preserve">议题三　成本结构：单次成本下降，总成本上升</w:t>
      </w:r>
    </w:p>
    <w:p>
      <w:pPr>
        <w:pStyle w:val="BodyText"/>
      </w:pPr>
      <w:r>
        <w:rPr>
          <w:b/>
        </w:rPr>
        <w:t xml:space="preserve">结论：单次调度成本下降 13.0%，但调度总支出同比上升 21.4%，原因是调度次数增加了 39.6%。以单次成本作为成本控制成效的证据，与预算口径不一致。</w:t>
      </w:r>
    </w:p>
    <w:p>
      <w:pPr>
        <w:pStyle w:val="BodyText"/>
      </w:pPr>
      <w:r>
        <w:t xml:space="preserve">口径：调度总支出含调度员薪酬与社保、车辆折旧与油电、第三方众包结算三项，不含平台研发与客服分摊。单次成本 = 总支出 ÷ 调度次数。众包结算按结算单据发生月归集，与工单发生月存在最多一个月的错期，本期未做还原。</w:t>
      </w:r>
    </w:p>
    <w:p>
      <w:pPr>
        <w:pStyle w:val="BodyText"/>
      </w:pPr>
      <w:r>
        <w:t xml:space="preserve">成本构成如下。</w:t>
      </w:r>
    </w:p>
    <w:tbl>
      <w:tblPr>
        <w:tblStyle w:val="TableGrid"/>
        <w:tblW w:w="0" w:type="auto"/>
        <w:tblBorders>
          <w:top w:val="single" w:sz="4" w:space="0" w:color="C7D5E3"/>
          <w:left w:val="single" w:sz="4" w:space="0" w:color="C7D5E3"/>
          <w:bottom w:val="single" w:sz="4" w:space="0" w:color="C7D5E3"/>
          <w:right w:val="single" w:sz="4" w:space="0" w:color="C7D5E3"/>
          <w:insideH w:val="single" w:sz="4" w:space="0" w:color="C7D5E3"/>
          <w:insideV w:val="single" w:sz="4" w:space="0" w:color="C7D5E3"/>
        </w:tblBorders>
      </w:tblPr>
      <w:tblGrid>
        <w:gridCol w:w="2167"/>
        <w:gridCol w:w="2167"/>
        <w:gridCol w:w="2167"/>
        <w:gridCol w:w="2167"/>
      </w:tblGrid>
      <w:tr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成本项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上半年（万元）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占比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同比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调度员薪酬与社保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1 842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58.3%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+34.2%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车辆折旧与油电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706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22.3%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+9.1%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第三方众包结算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613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19.4%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+6.8%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合计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3 161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100%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+21.4%</w:t>
            </w:r>
          </w:p>
        </w:tc>
      </w:tr>
    </w:tbl>
    <w:p/>
    <w:p>
      <w:pPr>
        <w:pStyle w:val="BodyText"/>
      </w:pPr>
      <w:r>
        <w:t xml:space="preserve">薪酬项占比接近六成且增速最快，若下半年维持当前人力规模，全年调度支出将超出预算 8% 至 12%。</w:t>
      </w:r>
    </w:p>
    <w:p>
      <w:pPr>
        <w:pStyle w:val="Heading2"/>
      </w:pPr>
      <w:r>
        <w:t xml:space="preserve">议题四　淤积治理：数量下降，复现率未变</w:t>
      </w:r>
    </w:p>
    <w:p>
      <w:pPr>
        <w:pStyle w:val="BodyText"/>
      </w:pPr>
      <w:r>
        <w:rPr>
          <w:b/>
        </w:rPr>
        <w:t xml:space="preserve">结论：日均淤积点从 203 处降至 126 处，但同一地点七日内再次淤积的比例仍为 41%，与去年同期的 43% 无显著差异。治理是在清运，不是在消解成因。</w:t>
      </w:r>
    </w:p>
    <w:p>
      <w:pPr>
        <w:pStyle w:val="BodyText"/>
      </w:pPr>
      <w:r>
        <w:t xml:space="preserve">口径：淤积点指同一 50 米栅格内滞留车辆超过 20 辆且持续 2 小时以上的位置。复现率 = 七日内再次触发的栅格数 ÷ 当期触发栅格总数。地铁站出入口按站点合并为一个栅格，避免同一站点被拆成多个点位重复计数。</w:t>
      </w:r>
    </w:p>
    <w:p>
      <w:pPr>
        <w:pStyle w:val="BodyText"/>
      </w:pPr>
      <w:r>
        <w:t xml:space="preserve">分场景数据如下。</w:t>
      </w:r>
    </w:p>
    <w:tbl>
      <w:tblPr>
        <w:tblStyle w:val="TableGrid"/>
        <w:tblW w:w="0" w:type="auto"/>
        <w:tblBorders>
          <w:top w:val="single" w:sz="4" w:space="0" w:color="C7D5E3"/>
          <w:left w:val="single" w:sz="4" w:space="0" w:color="C7D5E3"/>
          <w:bottom w:val="single" w:sz="4" w:space="0" w:color="C7D5E3"/>
          <w:right w:val="single" w:sz="4" w:space="0" w:color="C7D5E3"/>
          <w:insideH w:val="single" w:sz="4" w:space="0" w:color="C7D5E3"/>
          <w:insideV w:val="single" w:sz="4" w:space="0" w:color="C7D5E3"/>
        </w:tblBorders>
      </w:tblPr>
      <w:tblGrid>
        <w:gridCol w:w="1733"/>
        <w:gridCol w:w="1733"/>
        <w:gridCol w:w="1733"/>
        <w:gridCol w:w="1733"/>
        <w:gridCol w:w="1733"/>
      </w:tblGrid>
      <w:tr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场景类型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日均淤积点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同比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七日复现率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主要成因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地铁站出入口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47 处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-31%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58%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早高峰单向潮汐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写字楼聚集区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34 处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-42%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39%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午间集中借还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高校校门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21 处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-45%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36%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作息集中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商圈临街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16 处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-38%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27%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夜间滞留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其他散点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8 处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-52%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18%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无集中成因</w:t>
            </w:r>
          </w:p>
        </w:tc>
      </w:tr>
    </w:tbl>
    <w:p/>
    <w:p>
      <w:pPr>
        <w:pStyle w:val="BodyText"/>
      </w:pPr>
      <w:r>
        <w:t xml:space="preserve">地铁站出入口的复现率最高且降幅最小，是下半年唯一值得单独立项的场景。</w:t>
      </w:r>
    </w:p>
    <w:p>
      <w:pPr>
        <w:pStyle w:val="Heading2"/>
      </w:pPr>
      <w:r>
        <w:t xml:space="preserve">待办与责任人</w:t>
      </w:r>
    </w:p>
    <w:p>
      <w:pPr>
        <w:pStyle w:val="BodyText"/>
      </w:pPr>
      <w:r>
        <w:t xml:space="preserve">待办如下。</w:t>
      </w:r>
    </w:p>
    <w:tbl>
      <w:tblPr>
        <w:tblStyle w:val="TableGrid"/>
        <w:tblW w:w="0" w:type="auto"/>
        <w:tblBorders>
          <w:top w:val="single" w:sz="4" w:space="0" w:color="C7D5E3"/>
          <w:left w:val="single" w:sz="4" w:space="0" w:color="C7D5E3"/>
          <w:bottom w:val="single" w:sz="4" w:space="0" w:color="C7D5E3"/>
          <w:right w:val="single" w:sz="4" w:space="0" w:color="C7D5E3"/>
          <w:insideH w:val="single" w:sz="4" w:space="0" w:color="C7D5E3"/>
          <w:insideV w:val="single" w:sz="4" w:space="0" w:color="C7D5E3"/>
        </w:tblBorders>
      </w:tblPr>
      <w:tblGrid>
        <w:gridCol w:w="2167"/>
        <w:gridCol w:w="2167"/>
        <w:gridCol w:w="2167"/>
        <w:gridCol w:w="2167"/>
      </w:tblGrid>
      <w:tr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事项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责任人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完成时点</w:t>
            </w:r>
          </w:p>
        </w:tc>
        <w:tc>
          <w:tcPr>
            <w:tcW w:w="0" w:type="auto"/>
            <w:shd w:val="clear" w:color="auto" w:fill="EAF0F6"/>
          </w:tcPr>
          <w:p>
            <w:pPr>
              <w:pStyle w:val="BodyText"/>
            </w:pPr>
            <w:r>
              <w:rPr>
                <w:b/>
              </w:rPr>
              <w:t xml:space="preserve">验收方式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把 P95 响应纳入主指标看板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数据组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7 月 31 日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看板与口径说明入库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四城未见效原因专项走访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调度组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8 月 15 日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走访纪要 6 份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调度人力与预算重排方案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运营中心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8 月 31 日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方案过预算委员会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地铁站潮汐场景试点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调度组与城市 BD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9 月 30 日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试点站复现率下降 10 个百分点</w:t>
            </w:r>
          </w:p>
        </w:tc>
      </w:tr>
    </w:tbl>
    <w:p/>
    <w:p>
      <w:pPr>
        <w:pStyle w:val="BodyText"/>
      </w:pPr>
      <w:r>
        <w:t xml:space="preserve">（本件为 OceanLeo 第一方原创示例文档，全部数字为演示数据；并列数据一律排成表格，与数据评审体「一句结论紧跟一片数据」的主张一致。）</w:t>
      </w:r>
    </w:p>
    <w:sectPr>
      <w:pgSz w:w="12240" w:h="15840"/>
      <w:pgMar w:top="1361" w:right="1134" w:bottom="1361" w:left="2438" w:header="681" w:footer="681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DejaVu Sans">
    <w:family w:val="swiss"/>
    <w:pitch w:val="variable"/>
  </w:font>
  <w:font w:name="Noto Sans CJK SC">
    <w:family w:val="auto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420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DejaVu Sans" w:hAnsi="DejaVu Sans" w:eastAsia="Noto Sans CJK SC" w:cs="Noto Sans CJK SC"/>
        <w:sz w:val="19"/>
        <w:szCs w:val="19"/>
        <w:lang w:val="zh-CN" w:eastAsia="zh-CN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  <w:rPr>
      <w:color w:val="1F2328"/>
    </w:rPr>
  </w:style>
  <w:style w:type="paragraph" w:styleId="Heading1">
    <w:name w:val="heading 1"/>
    <w:basedOn w:val="Normal"/>
    <w:pPr>
      <w:keepNext/>
      <w:spacing w:before="300" w:after="120"/>
      <w:outlineLvl w:val="0"/>
    </w:pPr>
    <w:rPr>
      <w:b/>
      <w:color w:val="0F4C81"/>
      <w:sz w:val="56"/>
      <w:szCs w:val="56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b/>
      <w:color w:val="0F4C81"/>
      <w:sz w:val="34"/>
      <w:szCs w:val="34"/>
    </w:rPr>
  </w:style>
  <w:style w:type="paragraph" w:styleId="Heading3">
    <w:name w:val="heading 3"/>
    <w:basedOn w:val="Normal"/>
    <w:pPr>
      <w:keepNext/>
      <w:spacing w:before="180" w:after="120"/>
      <w:outlineLvl w:val="2"/>
    </w:pPr>
    <w:rPr>
      <w:b/>
      <w:color w:val="3C5A73"/>
      <w:sz w:val="26"/>
      <w:szCs w:val="26"/>
    </w:rPr>
  </w:style>
  <w:style w:type="table" w:styleId="TableGrid">
    <w:name w:val="Table Grid"/>
    <w:tblPr>
      <w:tblCellMar>
        <w:top w:w="72" w:type="dxa"/>
        <w:left w:w="108" w:type="dxa"/>
        <w:bottom w:w="72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Theme" Type="http://schemas.openxmlformats.org/officeDocument/2006/relationships/theme" Target="theme/theme1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10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ceanLeo">
  <a:themeElements>
    <a:clrScheme name="OceanLeo">
      <a:dk1>
        <a:sysClr val="windowText" lastClr="1F2328"/>
      </a:dk1>
      <a:lt1>
        <a:sysClr val="window" lastClr="FFFFFF"/>
      </a:lt1>
      <a:dk2>
        <a:srgbClr val="3C5A73"/>
      </a:dk2>
      <a:lt2>
        <a:srgbClr val="EAF0F6"/>
      </a:lt2>
      <a:accent1>
        <a:srgbClr val="0F4C81"/>
      </a:accent1>
      <a:accent2>
        <a:srgbClr val="C47323"/>
      </a:accent2>
      <a:accent3>
        <a:srgbClr val="2E8B6F"/>
      </a:accent3>
      <a:accent4>
        <a:srgbClr val="8E5BA6"/>
      </a:accent4>
      <a:accent5>
        <a:srgbClr val="CF222E"/>
      </a:accent5>
      <a:accent6>
        <a:srgbClr val="57606A"/>
      </a:accent6>
      <a:hlink>
        <a:srgbClr val="0969DA"/>
      </a:hlink>
      <a:folHlink>
        <a:srgbClr val="8250DF"/>
      </a:folHlink>
    </a:clrScheme>
    <a:fontScheme name="OceanLeo">
      <a:majorFont>
        <a:latin typeface="DejaVu Sans"/>
        <a:ea typeface="Noto Sans CJK SC"/>
        <a:cs typeface=""/>
      </a:majorFont>
      <a:minorFont>
        <a:latin typeface="DejaVu Sans"/>
        <a:ea typeface="Noto Sans CJK SC"/>
        <a:cs typeface=""/>
      </a:minorFont>
    </a:fontScheme>
    <a:fmtScheme name="OceanLe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oceanleo-tool-doc-docx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共享单车调度效能专项评审报告（2026 年上半年）</dc:title>
  <dc:subject>按数据评审体排出的一份复盘材料：每个议题固定「一句结论—一段口径—一片数据行」，配一张趋势图。</dc:subject>
  <dc:creator>OceanLeo</dc:creator>
  <cp:lastModifiedBy>OceanLeo</cp:lastModifiedBy>
  <dcterms:created xsi:type="dcterms:W3CDTF">2026-07-29T00:00:00.000Z</dcterms:created>
  <dcterms:modified xsi:type="dcterms:W3CDTF">2026-07-29T00:00:00.000Z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ceanLeoCredits">
    <vt:lpwstr>OceanLeo (OCEANLEO-AIGEN)</vt:lpwstr>
  </property>
  <property fmtid="{D5CDD505-2E9C-101B-9397-08002B2CF9AE}" pid="3" name="OceanLeoOrderId">
    <vt:lpwstr>null</vt:lpwstr>
  </property>
  <property fmtid="{D5CDD505-2E9C-101B-9397-08002B2CF9AE}" pid="4" name="OceanLeoAssembler">
    <vt:lpwstr>ooxml</vt:lpwstr>
  </property>
</Properties>
</file>