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s" Type="http://schemas.openxmlformats.org/package/2006/relationships/metadata/core-properties" Target="docProps/core.xml"/><Relationship Id="rIdExtProps" Type="http://schemas.openxmlformats.org/officeDocument/2006/relationships/extended-properties" Target="docProps/app.xml"/><Relationship Id="rIdCredits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远程与混合办公设备借用管理办法（试行）</w:t>
      </w:r>
    </w:p>
    <w:p>
      <w:pPr>
        <w:pStyle w:val="BodyText"/>
      </w:pPr>
      <w:r>
        <w:t xml:space="preserve">本办法自发布之日起在全司范围内试行。文中所称「设备」，指由公司出资购置、登记在固定资产台账内，并由行政部统一保管、可临时借出用于办公用途的可移动器材。</w:t>
      </w:r>
    </w:p>
    <w:p>
      <w:pPr>
        <w:pStyle w:val="Heading2"/>
      </w:pPr>
      <w:r>
        <w:t xml:space="preserve">第一章　总则</w:t>
      </w:r>
    </w:p>
    <w:p>
      <w:pPr>
        <w:pStyle w:val="BodyText"/>
      </w:pPr>
      <w:r>
        <w:t xml:space="preserve">第一条　为规范远程办公与混合办公期间公司设备的借用、保管与归还，明确各方责任，减少资产流失与数据泄露风险，制定本办法。</w:t>
      </w:r>
    </w:p>
    <w:p>
      <w:pPr>
        <w:pStyle w:val="BodyText"/>
      </w:pPr>
      <w:r>
        <w:t xml:space="preserve">第二条　本办法适用于与公司签订劳动合同的在职员工，以及经用人部门负责人书面确认、在公司场所外承担交付任务的实习生与外部协作人员。下列情形不适用本办法：</w:t>
      </w:r>
    </w:p>
    <w:p>
      <w:pPr>
        <w:pStyle w:val="BodyText"/>
      </w:pPr>
      <w:r>
        <w:t xml:space="preserve">（一）派驻客户现场、由客户提供办公设备的人员，其设备管理从客户方规定；</w:t>
      </w:r>
    </w:p>
    <w:p>
      <w:pPr>
        <w:pStyle w:val="BodyText"/>
      </w:pPr>
      <w:r>
        <w:t xml:space="preserve">（二）已办理离职手续但尚在工作交接期内的人员，其在用设备按第十二条办理归还，不得再行申请借用；</w:t>
      </w:r>
    </w:p>
    <w:p>
      <w:pPr>
        <w:pStyle w:val="BodyText"/>
      </w:pPr>
      <w:r>
        <w:t xml:space="preserve">（三）纳入研发测试专项台账的样机、评估机与拆机件，从研发部门的样机管理规定。</w:t>
      </w:r>
    </w:p>
    <w:p>
      <w:pPr>
        <w:pStyle w:val="BodyText"/>
      </w:pPr>
      <w:r>
        <w:t xml:space="preserve">第三条　行政部是本办法的主管部门，负责设备台账、借用审批的最终登记与实物收发；信息安全部负责设备的安全基线核验与数据清除；用人部门负责人负责必要性判断与到期催还。三方职责不得相互替代。</w:t>
      </w:r>
    </w:p>
    <w:p>
      <w:pPr>
        <w:pStyle w:val="Heading2"/>
      </w:pPr>
      <w:r>
        <w:t xml:space="preserve">第二章　借用申请</w:t>
      </w:r>
    </w:p>
    <w:p>
      <w:pPr>
        <w:pStyle w:val="BodyText"/>
      </w:pPr>
      <w:r>
        <w:t xml:space="preserve">第四条　可借设备按以下四类管理，不同类别的审批层级与借期上限不同：</w:t>
      </w:r>
    </w:p>
    <w:p>
      <w:pPr>
        <w:pStyle w:val="BodyText"/>
      </w:pPr>
      <w:r>
        <w:t xml:space="preserve">（一）通用类，含便携计算机、显示器、键鼠、拓展坞、耳机，借期上限九十日；</w:t>
      </w:r>
    </w:p>
    <w:p>
      <w:pPr>
        <w:pStyle w:val="BodyText"/>
      </w:pPr>
      <w:r>
        <w:t xml:space="preserve">（二）影音类，含摄像机、录音设备、补光灯、云台，借期上限三十日；</w:t>
      </w:r>
    </w:p>
    <w:p>
      <w:pPr>
        <w:pStyle w:val="BodyText"/>
      </w:pPr>
      <w:r>
        <w:t xml:space="preserve">（三）测试类，含移动终端测试机、路由与网络测试设备，借期上限三十日，且须在设备管理系统内绑定使用人；</w:t>
      </w:r>
    </w:p>
    <w:p>
      <w:pPr>
        <w:pStyle w:val="BodyText"/>
      </w:pPr>
      <w:r>
        <w:t xml:space="preserve">（四）涉密类，含存有客户数据的移动存储介质与加密狗，借期上限七日，且不得携出境内。</w:t>
      </w:r>
    </w:p>
    <w:p>
      <w:pPr>
        <w:pStyle w:val="BodyText"/>
      </w:pPr>
      <w:r>
        <w:t xml:space="preserve">第五条　借用人应在预计使用日前三个工作日提交申请，写明设备类别、数量、用途、使用地点、预计借期与归还日期。用途填写「日常办公」而无具体事由的，视为未写明，受理部门应予退回。</w:t>
      </w:r>
    </w:p>
    <w:p>
      <w:pPr>
        <w:pStyle w:val="BodyText"/>
      </w:pPr>
      <w:r>
        <w:t xml:space="preserve">第六条　审批时限如下：通用类由用人部门负责人一级审批，一个工作日内办结；影音类与测试类经用人部门负责人审批后报行政部复核，两个工作日内办结；涉密类在前述基础上增加信息安全部会签，三个工作日内办结。超过时限未办结的，申请人可要求受理人书面说明原因。</w:t>
      </w:r>
    </w:p>
    <w:p>
      <w:pPr>
        <w:pStyle w:val="BodyText"/>
      </w:pPr>
      <w:r>
        <w:t xml:space="preserve">第七条　同一设备同时被两人以上申请的，按下列顺序确定优先级：</w:t>
      </w:r>
    </w:p>
    <w:p>
      <w:pPr>
        <w:pStyle w:val="BodyText"/>
      </w:pPr>
      <w:r>
        <w:t xml:space="preserve">（一）已签署交付时间的客户项目优先于内部项目；</w:t>
      </w:r>
    </w:p>
    <w:p>
      <w:pPr>
        <w:pStyle w:val="BodyText"/>
      </w:pPr>
      <w:r>
        <w:t xml:space="preserve">（二）借期短者优先于借期长者；</w:t>
      </w:r>
    </w:p>
    <w:p>
      <w:pPr>
        <w:pStyle w:val="BodyText"/>
      </w:pPr>
      <w:r>
        <w:t xml:space="preserve">（三）前两项相同的，按申请提交时间先后确定。</w:t>
      </w:r>
    </w:p>
    <w:p>
      <w:pPr>
        <w:pStyle w:val="BodyText"/>
      </w:pPr>
      <w:r>
        <w:t xml:space="preserve">第八条　借用人在同一时间段内持有的设备不得超过三件，其中影音类不得超过一件。确因工作需要超出的，须由用人部门负责人逐件书面说明，并报行政部备案。</w:t>
      </w:r>
    </w:p>
    <w:p>
      <w:pPr>
        <w:pStyle w:val="Heading2"/>
      </w:pPr>
      <w:r>
        <w:t xml:space="preserve">第三章　领用与保管</w:t>
      </w:r>
    </w:p>
    <w:p>
      <w:pPr>
        <w:pStyle w:val="BodyText"/>
      </w:pPr>
      <w:r>
        <w:t xml:space="preserve">第九条　领用时应当面清点，逐项核对设备型号、序列号、附件与外观状况，并在领用单上签字确认。未当面清点即签字的，事后就外观损伤提出异议的，不予采信。</w:t>
      </w:r>
    </w:p>
    <w:p>
      <w:pPr>
        <w:pStyle w:val="BodyText"/>
      </w:pPr>
      <w:r>
        <w:t xml:space="preserve">第十条　借用人为设备的第一保管责任人，责任自签字之时起至行政部签收归还之时止。责任不因下列情形转移：</w:t>
      </w:r>
    </w:p>
    <w:p>
      <w:pPr>
        <w:pStyle w:val="BodyText"/>
      </w:pPr>
      <w:r>
        <w:t xml:space="preserve">（一）设备实际由同组同事使用；</w:t>
      </w:r>
    </w:p>
    <w:p>
      <w:pPr>
        <w:pStyle w:val="BodyText"/>
      </w:pPr>
      <w:r>
        <w:t xml:space="preserve">（二）设备存放于借用人以外的场所；</w:t>
      </w:r>
    </w:p>
    <w:p>
      <w:pPr>
        <w:pStyle w:val="BodyText"/>
      </w:pPr>
      <w:r>
        <w:t xml:space="preserve">（三）借用人处于休假、出差或停职期间。</w:t>
      </w:r>
    </w:p>
    <w:p>
      <w:pPr>
        <w:pStyle w:val="BodyText"/>
      </w:pPr>
      <w:r>
        <w:t xml:space="preserve">第十一条　设备上的数据安全遵守下列要求：涉密类设备不得接入未经登记的网络；不得使用个人云盘同步公司数据；不得关闭磁盘加密与远程擦除功能；设备遗失后应在两小时内报告信息安全部并配合远程擦除。</w:t>
      </w:r>
    </w:p>
    <w:p>
      <w:pPr>
        <w:pStyle w:val="BodyText"/>
      </w:pPr>
      <w:r>
        <w:t xml:space="preserve">第十二条　禁止转借。借用人不得将设备交由公司以外的人员使用，也不得在未办理变更手续的情况下交由公司内其他人员长期占用。经查实存在转借的，收回设备并暂停其六个月内的借用资格。</w:t>
      </w:r>
    </w:p>
    <w:p>
      <w:pPr>
        <w:pStyle w:val="Heading2"/>
      </w:pPr>
      <w:r>
        <w:t xml:space="preserve">第四章　归还与续借</w:t>
      </w:r>
    </w:p>
    <w:p>
      <w:pPr>
        <w:pStyle w:val="BodyText"/>
      </w:pPr>
      <w:r>
        <w:t xml:space="preserve">第十三条　借用人应在归还日期当日或之前将设备交回行政部。因公出差在外无法按期交回的，应在到期前提交续借申请，不得以事后说明代替。</w:t>
      </w:r>
    </w:p>
    <w:p>
      <w:pPr>
        <w:pStyle w:val="BodyText"/>
      </w:pPr>
      <w:r>
        <w:t xml:space="preserve">第十四条　归还时由行政部逐项检查，检查内容包括外观、开机自检、附件完整性与数据清除记录。检查未通过的，设备不予签收，视为尚未归还，借期继续计算。</w:t>
      </w:r>
    </w:p>
    <w:p>
      <w:pPr>
        <w:pStyle w:val="BodyText"/>
      </w:pPr>
      <w:r>
        <w:t xml:space="preserve">第十五条　续借每次不得超过原借期，且累计续借不得超过两次。第三次仍需使用的，应重新提交申请，并由用人部门负责人说明该设备长期占用的必要性。</w:t>
      </w:r>
    </w:p>
    <w:p>
      <w:pPr>
        <w:pStyle w:val="BodyText"/>
      </w:pPr>
      <w:r>
        <w:t xml:space="preserve">第十六条　逾期未还且未办理续借的，行政部应在逾期首日发出催还通知，逾期五个工作日仍未归还的，抄送用人部门负责人；逾期二十个工作日仍未归还的，按第十九条处理。</w:t>
      </w:r>
    </w:p>
    <w:p>
      <w:pPr>
        <w:pStyle w:val="Heading2"/>
      </w:pPr>
      <w:r>
        <w:t xml:space="preserve">第五章　损坏、丢失与赔偿</w:t>
      </w:r>
    </w:p>
    <w:p>
      <w:pPr>
        <w:pStyle w:val="BodyText"/>
      </w:pPr>
      <w:r>
        <w:t xml:space="preserve">第十七条　设备发生损坏、丢失或被盗的，借用人应在知悉后二十四小时内报告行政部；涉及数据的，同时报告信息安全部。隐瞒不报或延迟报告，加重后果的部分由借用人承担。</w:t>
      </w:r>
    </w:p>
    <w:p>
      <w:pPr>
        <w:pStyle w:val="BodyText"/>
      </w:pPr>
      <w:r>
        <w:t xml:space="preserve">第十八条　责任认定分为三种情形：</w:t>
      </w:r>
    </w:p>
    <w:p>
      <w:pPr>
        <w:pStyle w:val="BodyText"/>
      </w:pPr>
      <w:r>
        <w:t xml:space="preserve">（一）正常使用中的自然损耗与非人为故障，由公司承担维修费用；</w:t>
      </w:r>
    </w:p>
    <w:p>
      <w:pPr>
        <w:pStyle w:val="BodyText"/>
      </w:pPr>
      <w:r>
        <w:t xml:space="preserve">（二）保管不当造成的损坏，如摔落、进液、挤压，由借用人承担维修费用，最高不超过该设备的残值；</w:t>
      </w:r>
    </w:p>
    <w:p>
      <w:pPr>
        <w:pStyle w:val="BodyText"/>
      </w:pPr>
      <w:r>
        <w:t xml:space="preserve">（三）遗失、被盗且无法提供报案回执，或存在转借、违规接入等情形的，由借用人按残值全额赔偿。</w:t>
      </w:r>
    </w:p>
    <w:p>
      <w:pPr>
        <w:pStyle w:val="BodyText"/>
      </w:pPr>
      <w:r>
        <w:t xml:space="preserve">第十九条　残值按购置价扣除折旧计算，通用类与影音类按四年直线折旧，测试类按三年直线折旧，残值率不低于百分之十。折旧年限自入账之日起算，以固定资产台账记载为准。</w:t>
      </w:r>
    </w:p>
    <w:p>
      <w:pPr>
        <w:pStyle w:val="BodyText"/>
      </w:pPr>
      <w:r>
        <w:t xml:space="preserve">第二十条　有下列情形之一的，免除赔偿责任：不可抗力；执行公司指派任务过程中为避免更大损失而致设备受损，并有在场证明；设备本身存在批次缺陷且已由厂商确认。</w:t>
      </w:r>
    </w:p>
    <w:p>
      <w:pPr>
        <w:pStyle w:val="Heading2"/>
      </w:pPr>
      <w:r>
        <w:t xml:space="preserve">第六章　附则</w:t>
      </w:r>
    </w:p>
    <w:p>
      <w:pPr>
        <w:pStyle w:val="BodyText"/>
      </w:pPr>
      <w:r>
        <w:t xml:space="preserve">第二十一条　本办法与既有采购、资产、保密制度不一致的，就设备借用事项以本办法为准；本办法未作规定的，从既有制度。</w:t>
      </w:r>
    </w:p>
    <w:p>
      <w:pPr>
        <w:pStyle w:val="BodyText"/>
      </w:pPr>
      <w:r>
        <w:t xml:space="preserve">第二十二条　本办法由行政部负责解释，试行期为十二个月。试行期内发现条款难以执行的，由行政部汇总后统一修订，不得由单个部门自行变通。</w:t>
      </w:r>
    </w:p>
    <w:p>
      <w:pPr>
        <w:pStyle w:val="BodyText"/>
      </w:pPr>
      <w:r>
        <w:t xml:space="preserve">第二十三条　本办法自发布之日起施行。此前发布的《办公设备临时领用须知》同时废止。</w:t>
      </w:r>
    </w:p>
    <w:p>
      <w:pPr>
        <w:pStyle w:val="BodyText"/>
      </w:pPr>
      <w:r>
        <w:t xml:space="preserve">（本件为 OceanLeo 第一方原创示例文档，条款内容供版式与写法参考，不构成法律意见；实际使用前应结合本单位制度与所在法域的规定修改。）</w:t>
      </w:r>
    </w:p>
    <w:sectPr>
      <w:pgSz w:w="9979" w:h="14175"/>
      <w:pgMar w:top="1021" w:right="851" w:bottom="1021" w:left="851" w:header="511" w:footer="511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Liberation Sans">
    <w:family w:val="swiss"/>
    <w:pitch w:val="variable"/>
  </w:font>
  <w:font w:name="Noto Sans CJK SC">
    <w:family w:val="auto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420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Liberation Sans" w:hAnsi="Liberation Sans" w:eastAsia="Noto Sans CJK SC" w:cs="Noto Sans CJK SC"/>
        <w:sz w:val="19"/>
        <w:szCs w:val="19"/>
        <w:lang w:val="zh-CN" w:eastAsia="zh-CN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  <w:rPr>
      <w:color w:val="1A1A1A"/>
    </w:rPr>
  </w:style>
  <w:style w:type="paragraph" w:styleId="Heading1">
    <w:name w:val="heading 1"/>
    <w:basedOn w:val="Normal"/>
    <w:pPr>
      <w:keepNext/>
      <w:spacing w:before="300" w:after="120"/>
      <w:outlineLvl w:val="0"/>
    </w:pPr>
    <w:rPr>
      <w:b/>
      <w:color w:val="1B4332"/>
      <w:sz w:val="26"/>
      <w:szCs w:val="26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b/>
      <w:color w:val="1B4332"/>
      <w:sz w:val="24"/>
      <w:szCs w:val="24"/>
    </w:rPr>
  </w:style>
  <w:style w:type="paragraph" w:styleId="Heading3">
    <w:name w:val="heading 3"/>
    <w:basedOn w:val="Normal"/>
    <w:pPr>
      <w:keepNext/>
      <w:spacing w:before="180" w:after="120"/>
      <w:outlineLvl w:val="2"/>
    </w:pPr>
    <w:rPr>
      <w:b/>
      <w:color w:val="2F4F3E"/>
      <w:sz w:val="22"/>
      <w:szCs w:val="22"/>
    </w:rPr>
  </w:style>
  <w:style w:type="table" w:styleId="TableGrid">
    <w:name w:val="Table Grid"/>
    <w:tblPr>
      <w:tblCellMar>
        <w:top w:w="72" w:type="dxa"/>
        <w:left w:w="108" w:type="dxa"/>
        <w:bottom w:w="72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Theme" Type="http://schemas.openxmlformats.org/officeDocument/2006/relationships/theme" Target="theme/theme1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ceanLeo">
  <a:themeElements>
    <a:clrScheme name="OceanLeo">
      <a:dk1>
        <a:sysClr val="windowText" lastClr="1A1A1A"/>
      </a:dk1>
      <a:lt1>
        <a:sysClr val="window" lastClr="FFFFFF"/>
      </a:lt1>
      <a:dk2>
        <a:srgbClr val="2F4F3E"/>
      </a:dk2>
      <a:lt2>
        <a:srgbClr val="EDF2EE"/>
      </a:lt2>
      <a:accent1>
        <a:srgbClr val="1B4332"/>
      </a:accent1>
      <a:accent2>
        <a:srgbClr val="C47323"/>
      </a:accent2>
      <a:accent3>
        <a:srgbClr val="2E8B6F"/>
      </a:accent3>
      <a:accent4>
        <a:srgbClr val="8E5BA6"/>
      </a:accent4>
      <a:accent5>
        <a:srgbClr val="CF222E"/>
      </a:accent5>
      <a:accent6>
        <a:srgbClr val="57606A"/>
      </a:accent6>
      <a:hlink>
        <a:srgbClr val="0969DA"/>
      </a:hlink>
      <a:folHlink>
        <a:srgbClr val="8250DF"/>
      </a:folHlink>
    </a:clrScheme>
    <a:fontScheme name="OceanLeo">
      <a:majorFont>
        <a:latin typeface="Liberation Sans"/>
        <a:ea typeface="Noto Sans CJK SC"/>
        <a:cs typeface=""/>
      </a:majorFont>
      <a:minorFont>
        <a:latin typeface="Liberation Sans"/>
        <a:ea typeface="Noto Sans CJK SC"/>
        <a:cs typeface=""/>
      </a:minorFont>
    </a:fontScheme>
    <a:fmtScheme name="OceanLe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oceanleo-tool-doc-docx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远程与混合办公设备借用管理办法（试行）</dc:title>
  <dc:subject>按条款编号体排出的一份内部管理办法：章—条—项三层编号，无图无表，供直接引用与追责。</dc:subject>
  <dc:creator>OceanLeo</dc:creator>
  <cp:lastModifiedBy>OceanLeo</cp:lastModifiedBy>
  <dcterms:created xsi:type="dcterms:W3CDTF">2026-07-29T00:00:00.000Z</dcterms:created>
  <dcterms:modified xsi:type="dcterms:W3CDTF">2026-07-29T00:00:00.000Z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ceanLeoCredits">
    <vt:lpwstr>OceanLeo (OCEANLEO-AIGEN)</vt:lpwstr>
  </property>
  <property fmtid="{D5CDD505-2E9C-101B-9397-08002B2CF9AE}" pid="3" name="OceanLeoOrderId">
    <vt:lpwstr>null</vt:lpwstr>
  </property>
  <property fmtid="{D5CDD505-2E9C-101B-9397-08002B2CF9AE}" pid="4" name="OceanLeoAssembler">
    <vt:lpwstr>ooxml</vt:lpwstr>
  </property>
</Properties>
</file>