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CoreProps" Type="http://schemas.openxmlformats.org/package/2006/relationships/metadata/core-properties" Target="docProps/core.xml"/><Relationship Id="rIdExtProps" Type="http://schemas.openxmlformats.org/officeDocument/2006/relationships/extended-properties" Target="docProps/app.xml"/><Relationship Id="rIdCredits1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医疗质量与安全管理委员会 2026 年第三次会议决议纪要</w:t>
      </w:r>
    </w:p>
    <w:p>
      <w:pPr>
        <w:pStyle w:val="BodyText"/>
      </w:pPr>
      <w:r>
        <w:t xml:space="preserve">会议时间：2026 年 7 月 24 日 14:00—16:40　　会议地点：门诊楼十二层会议室　　主持：委员会主任委员</w:t>
      </w:r>
    </w:p>
    <w:p>
      <w:pPr>
        <w:pStyle w:val="BodyText"/>
      </w:pPr>
      <w:r>
        <w:t xml:space="preserve">应到委员 15 人，实到 13 人，请假 2 人（附表二记录其书面意见）。列席：质控办、护理部、药学部、信息科各 1 人。本次会议达到章程规定的法定人数，决议有效。</w:t>
      </w:r>
    </w:p>
    <w:p>
      <w:pPr>
        <w:pStyle w:val="BodyText"/>
      </w:pPr>
      <w:r>
        <w:t xml:space="preserve">本纪要只记录决议、依据与责任划分，不记录讨论过程。全部数据与机构设置为演示内容，不指向任何真实医疗机构。</w:t>
      </w:r>
    </w:p>
    <w:p>
      <w:pPr>
        <w:pStyle w:val="Heading2"/>
      </w:pPr>
      <w:r>
        <w:t xml:space="preserve">议题一　围手术期抗菌药物预防使用不规范</w:t>
      </w:r>
    </w:p>
    <w:p>
      <w:pPr>
        <w:pStyle w:val="BodyText"/>
      </w:pPr>
      <w:r>
        <w:t xml:space="preserve">1.1　决议：自 2026 年 8 月 1 日起，将 I 类切口手术预防用抗菌药物纳入手术医嘱强制校验，术前 0.5—1 小时给药时间窗由信息系统硬性拦截；超窗给药需在系统内填写理由，理由逐月汇总报委员会。本条以 11 票赞成、2 票弃权、0 票反对通过。</w:t>
      </w:r>
    </w:p>
    <w:p>
      <w:pPr>
        <w:pStyle w:val="BodyText"/>
      </w:pPr>
      <w:r>
        <w:t xml:space="preserve">1.2　依据：质控办第二季度专项抽查 420 份 I 类切口病历，预防用药规范率 68.3%，其中给药时间窗不合格 87 例（占不合格总数的 65.4%），品种选择不当 31 例，疗程超 24 小时 28 例。抽查方法为分层随机，按科室手术量加权，抽样比例不低于该科室季度手术量的 15%。</w:t>
      </w:r>
    </w:p>
    <w:p>
      <w:pPr>
        <w:pStyle w:val="BodyText"/>
      </w:pPr>
      <w:r>
        <w:t xml:space="preserve">1.3　责任人与时点：信息科负责系统改造，2026 年 7 月 31 日前上线；医务部负责科室宣贯，7 月 29 日前完成；质控办负责 9 月 15 日前提交首月执行情况报告。</w:t>
      </w:r>
    </w:p>
    <w:p>
      <w:pPr>
        <w:pStyle w:val="Heading2"/>
      </w:pPr>
      <w:r>
        <w:t xml:space="preserve">议题二　急诊胸痛患者首次心电图完成时限</w:t>
      </w:r>
    </w:p>
    <w:p>
      <w:pPr>
        <w:pStyle w:val="BodyText"/>
      </w:pPr>
      <w:r>
        <w:t xml:space="preserve">2.1　决议：将急诊胸痛患者到院至首份心电图完成时限的院内标准由 10 分钟收紧至 8 分钟，自 2026 年 9 月 1 日起执行；在急诊分诊台增配便携式心电图机 1 台，由设备科在 8 月 20 日前完成采购与验收。本条以 13 票赞成、0 票弃权、0 票反对通过。</w:t>
      </w:r>
    </w:p>
    <w:p>
      <w:pPr>
        <w:pStyle w:val="BodyText"/>
      </w:pPr>
      <w:r>
        <w:t xml:space="preserve">2.2　依据：上半年急诊胸痛病例 1 246 例，首份心电图中位完成时间 7.4 分钟，但 P90 为 14.2 分钟，长尾集中在 20:00—次日 02:00 时段（占超时病例的 61%）。同期区域质控通报的三级医院中位值为 6.8 分钟。收紧标准的可行性依据是中位值已优于新标准，需要解决的是夜间时段的设备与人力可及性，而非整体流程。</w:t>
      </w:r>
    </w:p>
    <w:p>
      <w:pPr>
        <w:pStyle w:val="BodyText"/>
      </w:pPr>
      <w:r>
        <w:t xml:space="preserve">2.3　责任人与时点：急诊科主任负责流程调整与夜班排班，8 月 25 日前提交调整方案；设备科负责设备到位，8 月 20 日前；质控办负责自 9 月起按月监测 P90 并在超过 10 分钟时启动约谈。</w:t>
      </w:r>
    </w:p>
    <w:p>
      <w:pPr>
        <w:pStyle w:val="Heading2"/>
      </w:pPr>
      <w:r>
        <w:t xml:space="preserve">议题三　不良事件非惩罚性上报机制落地情况</w:t>
      </w:r>
    </w:p>
    <w:p>
      <w:pPr>
        <w:pStyle w:val="BodyText"/>
      </w:pPr>
      <w:r>
        <w:t xml:space="preserve">3.1　决议：确认现行非惩罚性上报机制未达预期，责成质控办在 2026 年 10 月 31 日前完成上报路径改造，取消上报环节中的科室负责人审批节点，改为科室知悉但不参与审核。本条以 12 票赞成、1 票弃权、0 票反对通过。</w:t>
      </w:r>
    </w:p>
    <w:p>
      <w:pPr>
        <w:pStyle w:val="BodyText"/>
      </w:pPr>
      <w:r>
        <w:t xml:space="preserve">3.2　依据：上半年不良事件上报 312 件，其中 I 级（未造成后果）事件仅占 41%，而行业经验值为 70% 以上，提示轻微事件存在系统性漏报。匿名问卷回收 286 份，48% 的受访者选择「担心科室内部评价」作为不上报的主要原因，该选项在护理岗位中占比为 57%。</w:t>
      </w:r>
    </w:p>
    <w:p>
      <w:pPr>
        <w:pStyle w:val="BodyText"/>
      </w:pPr>
      <w:r>
        <w:t xml:space="preserve">3.3　责任人与时点：质控办牵头，信息科配合，2026 年 10 月 31 日前完成路径改造；护理部负责在改造上线后两周内完成全院护理单元宣贯；委员会在 2027 年第一次会议上复核 I 级事件占比是否回升至 60% 以上。</w:t>
      </w:r>
    </w:p>
    <w:p>
      <w:pPr>
        <w:pStyle w:val="Heading2"/>
      </w:pPr>
      <w:r>
        <w:t xml:space="preserve">议题四　高警示药品存放与双人核对</w:t>
      </w:r>
    </w:p>
    <w:p>
      <w:pPr>
        <w:pStyle w:val="BodyText"/>
      </w:pPr>
      <w:r>
        <w:t xml:space="preserve">4.1　决议：全院高警示药品目录由 32 种调整为 27 种，删除的 5 种转入常规管理；同时明确浓氯化钾注射液不得在病区常规储备，改由静配中心统一配置。本条以 13 票赞成、0 票弃权、0 票反对通过。</w:t>
      </w:r>
    </w:p>
    <w:p>
      <w:pPr>
        <w:pStyle w:val="BodyText"/>
      </w:pPr>
      <w:r>
        <w:t xml:space="preserve">4.2　依据：药学部对 32 种目录药品逐一评估近三年不良事件关联度，其中 5 种在院内近三年零关联事件且外部指南亦未列入高警示范畴，继续按高警示管理会稀释重点。浓氯化钾一项，第二季度病区存放点抽查 18 个，标识不合格 4 个。</w:t>
      </w:r>
    </w:p>
    <w:p>
      <w:pPr>
        <w:pStyle w:val="BodyText"/>
      </w:pPr>
      <w:r>
        <w:t xml:space="preserve">4.3　责任人与时点：药学部负责目录修订发文，8 月 10 日前；静配中心负责承接配置量测算与人力申请，8 月 31 日前；护理部负责病区回收与清点，9 月 10 日前完成并报药学部核销。</w:t>
      </w:r>
    </w:p>
    <w:p>
      <w:pPr>
        <w:pStyle w:val="Heading2"/>
      </w:pPr>
      <w:r>
        <w:t xml:space="preserve">附表一　本次会议决议汇总</w:t>
      </w:r>
    </w:p>
    <w:tbl>
      <w:tblPr>
        <w:tblStyle w:val="TableGrid"/>
        <w:tblW w:w="0" w:type="auto"/>
        <w:tblBorders>
          <w:top w:val="single" w:sz="4" w:space="0" w:color="CFC7DA"/>
          <w:left w:val="single" w:sz="4" w:space="0" w:color="CFC7DA"/>
          <w:bottom w:val="single" w:sz="4" w:space="0" w:color="CFC7DA"/>
          <w:right w:val="single" w:sz="4" w:space="0" w:color="CFC7DA"/>
          <w:insideH w:val="single" w:sz="4" w:space="0" w:color="CFC7DA"/>
          <w:insideV w:val="single" w:sz="4" w:space="0" w:color="CFC7DA"/>
        </w:tblBorders>
      </w:tblPr>
      <w:tblGrid>
        <w:gridCol w:w="2107"/>
        <w:gridCol w:w="2107"/>
        <w:gridCol w:w="2107"/>
        <w:gridCol w:w="2107"/>
        <w:gridCol w:w="2107"/>
      </w:tblGrid>
      <w:tr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编号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事项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责任部门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完成时点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验收方式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1.3-A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抗菌药物给药时间窗系统拦截上线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信息科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2026-07-31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系统日志可查拦截记录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1.3-B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科室宣贯与培训签到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医务部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2026-07-29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签到表覆盖全部手术科室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1.3-C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首月执行情况报告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质控办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2026-09-15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报告经委员会审阅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2.3-A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便携式心电图机采购验收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设备科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2026-08-20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验收单与资产入账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2.3-B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夜间排班与流程调整方案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急诊科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2026-08-25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方案经医务部备案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3.3-A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上报路径取消科室审批节点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质控办、信息科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2026-10-31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系统流程图与实测上报耗时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4.3-A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高警示药品目录修订发文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药学部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2026-08-10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红头文件下发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4.3-B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病区浓氯化钾回收清点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护理部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2026-09-10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清点单经药学部核销</w:t>
            </w:r>
          </w:p>
        </w:tc>
      </w:tr>
    </w:tbl>
    <w:p/>
    <w:p>
      <w:pPr>
        <w:pStyle w:val="Heading2"/>
      </w:pPr>
      <w:r>
        <w:t xml:space="preserve">附表二　表决记录与请假委员书面意见</w:t>
      </w:r>
    </w:p>
    <w:tbl>
      <w:tblPr>
        <w:tblStyle w:val="TableGrid"/>
        <w:tblW w:w="0" w:type="auto"/>
        <w:tblBorders>
          <w:top w:val="single" w:sz="4" w:space="0" w:color="CFC7DA"/>
          <w:left w:val="single" w:sz="4" w:space="0" w:color="CFC7DA"/>
          <w:bottom w:val="single" w:sz="4" w:space="0" w:color="CFC7DA"/>
          <w:right w:val="single" w:sz="4" w:space="0" w:color="CFC7DA"/>
          <w:insideH w:val="single" w:sz="4" w:space="0" w:color="CFC7DA"/>
          <w:insideV w:val="single" w:sz="4" w:space="0" w:color="CFC7DA"/>
        </w:tblBorders>
      </w:tblPr>
      <w:tblGrid>
        <w:gridCol w:w="2107"/>
        <w:gridCol w:w="2107"/>
        <w:gridCol w:w="2107"/>
        <w:gridCol w:w="2107"/>
        <w:gridCol w:w="2107"/>
      </w:tblGrid>
      <w:tr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议题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赞成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弃权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反对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请假委员书面意见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议题一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同意，建议同步评估对择期手术流程的影响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议题二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13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同意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议题三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12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同意，建议匿名渠道与实名渠道并行保留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议题四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13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同意</w:t>
            </w:r>
          </w:p>
        </w:tc>
      </w:tr>
    </w:tbl>
    <w:p/>
    <w:p>
      <w:pPr>
        <w:pStyle w:val="Heading2"/>
      </w:pPr>
      <w:r>
        <w:t xml:space="preserve">附表三　上次会议决议执行情况复核</w:t>
      </w:r>
    </w:p>
    <w:tbl>
      <w:tblPr>
        <w:tblStyle w:val="TableGrid"/>
        <w:tblW w:w="0" w:type="auto"/>
        <w:tblBorders>
          <w:top w:val="single" w:sz="4" w:space="0" w:color="CFC7DA"/>
          <w:left w:val="single" w:sz="4" w:space="0" w:color="CFC7DA"/>
          <w:bottom w:val="single" w:sz="4" w:space="0" w:color="CFC7DA"/>
          <w:right w:val="single" w:sz="4" w:space="0" w:color="CFC7DA"/>
          <w:insideH w:val="single" w:sz="4" w:space="0" w:color="CFC7DA"/>
          <w:insideV w:val="single" w:sz="4" w:space="0" w:color="CFC7DA"/>
        </w:tblBorders>
      </w:tblPr>
      <w:tblGrid>
        <w:gridCol w:w="2634"/>
        <w:gridCol w:w="2634"/>
        <w:gridCol w:w="2634"/>
        <w:gridCol w:w="2634"/>
      </w:tblGrid>
      <w:tr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上次编号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事项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状态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2026-02-1.3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手术安全核查表电子化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已完成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5 月上线，第二季度执行率 96.2%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2026-02-2.2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危急值闭环时限监测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已完成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月度监测已纳入质控看板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2026-02-3.1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输血适应证专项点评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未完成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点评样本量不足，顺延至 2026-09-30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2026-02-4.4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麻醉深度监测设备配置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部分完成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3 间手术室已配，其余 2 间待预算</w:t>
            </w:r>
          </w:p>
        </w:tc>
      </w:tr>
    </w:tbl>
    <w:p/>
    <w:p>
      <w:pPr>
        <w:pStyle w:val="Heading2"/>
      </w:pPr>
      <w:r>
        <w:t xml:space="preserve">附表四　下次会议预定议题</w:t>
      </w:r>
    </w:p>
    <w:tbl>
      <w:tblPr>
        <w:tblStyle w:val="TableGrid"/>
        <w:tblW w:w="0" w:type="auto"/>
        <w:tblBorders>
          <w:top w:val="single" w:sz="4" w:space="0" w:color="CFC7DA"/>
          <w:left w:val="single" w:sz="4" w:space="0" w:color="CFC7DA"/>
          <w:bottom w:val="single" w:sz="4" w:space="0" w:color="CFC7DA"/>
          <w:right w:val="single" w:sz="4" w:space="0" w:color="CFC7DA"/>
          <w:insideH w:val="single" w:sz="4" w:space="0" w:color="CFC7DA"/>
          <w:insideV w:val="single" w:sz="4" w:space="0" w:color="CFC7DA"/>
        </w:tblBorders>
      </w:tblPr>
      <w:tblGrid>
        <w:gridCol w:w="2634"/>
        <w:gridCol w:w="2634"/>
        <w:gridCol w:w="2634"/>
        <w:gridCol w:w="2634"/>
      </w:tblGrid>
      <w:tr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序号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预定议题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提出部门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材料提交截止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输血适应证专项点评结果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输血科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2026-10-20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抗菌药物拦截上线后三个月评估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质控办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2026-10-25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护理不良事件上报量变化分析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护理部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2026-10-25</w:t>
            </w:r>
          </w:p>
        </w:tc>
      </w:tr>
    </w:tbl>
    <w:p/>
    <w:p>
      <w:pPr>
        <w:pStyle w:val="Heading2"/>
      </w:pPr>
      <w:r>
        <w:t xml:space="preserve">附表五　本纪要的送达与归档</w:t>
      </w:r>
    </w:p>
    <w:tbl>
      <w:tblPr>
        <w:tblStyle w:val="TableGrid"/>
        <w:tblW w:w="0" w:type="auto"/>
        <w:tblBorders>
          <w:top w:val="single" w:sz="4" w:space="0" w:color="CFC7DA"/>
          <w:left w:val="single" w:sz="4" w:space="0" w:color="CFC7DA"/>
          <w:bottom w:val="single" w:sz="4" w:space="0" w:color="CFC7DA"/>
          <w:right w:val="single" w:sz="4" w:space="0" w:color="CFC7DA"/>
          <w:insideH w:val="single" w:sz="4" w:space="0" w:color="CFC7DA"/>
          <w:insideV w:val="single" w:sz="4" w:space="0" w:color="CFC7DA"/>
        </w:tblBorders>
      </w:tblPr>
      <w:tblGrid>
        <w:gridCol w:w="3512"/>
        <w:gridCol w:w="3512"/>
        <w:gridCol w:w="3512"/>
      </w:tblGrid>
      <w:tr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环节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承办</w:t>
            </w:r>
          </w:p>
        </w:tc>
        <w:tc>
          <w:tcPr>
            <w:tcW w:w="0" w:type="auto"/>
            <w:shd w:val="clear" w:color="auto" w:fill="EFEBF4"/>
          </w:tcPr>
          <w:p>
            <w:pPr>
              <w:pStyle w:val="BodyText"/>
            </w:pPr>
            <w:r>
              <w:rPr>
                <w:b/>
              </w:rPr>
              <w:t xml:space="preserve">时点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纪要签发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主任委员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2026-07-26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全院 OA 送达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院办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2026-07-28</w:t>
            </w:r>
          </w:p>
        </w:tc>
      </w:tr>
      <w:tr>
        <w:tc>
          <w:tcPr>
            <w:tcW w:w="0" w:type="auto"/>
          </w:tcPr>
          <w:p>
            <w:pPr>
              <w:pStyle w:val="BodyText"/>
            </w:pPr>
            <w:r>
              <w:t xml:space="preserve">纸质归档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档案室</w:t>
            </w:r>
          </w:p>
        </w:tc>
        <w:tc>
          <w:tcPr>
            <w:tcW w:w="0" w:type="auto"/>
          </w:tcPr>
          <w:p>
            <w:pPr>
              <w:pStyle w:val="BodyText"/>
            </w:pPr>
            <w:r>
              <w:t xml:space="preserve">2026-08-05</w:t>
            </w:r>
          </w:p>
        </w:tc>
      </w:tr>
    </w:tbl>
    <w:p/>
    <w:p>
      <w:pPr>
        <w:pStyle w:val="BodyText"/>
      </w:pPr>
      <w:r>
        <w:t xml:space="preserve">（本件为 OceanLeo 第一方原创示例文档，机构、人员、数据均为演示内容。决议纪要体的规矩是「决议、依据、责任人与时点三拍不缺一拍」，本件五张表与四个议题即按此排布。）</w:t>
      </w:r>
    </w:p>
    <w:sectPr>
      <w:pgSz w:w="12240" w:h="15840"/>
      <w:pgMar w:top="851" w:right="851" w:bottom="851" w:left="851" w:header="425" w:footer="425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DejaVu Sans">
    <w:family w:val="swiss"/>
    <w:pitch w:val="variable"/>
  </w:font>
  <w:font w:name="Noto Sans CJK SC">
    <w:family w:val="auto"/>
    <w:pitch w:val="variable"/>
  </w:font>
  <w:font w:name="DejaVu Sans Mono">
    <w:family w:val="auto"/>
    <w:pitch w:val="variable"/>
  </w:font>
  <w:font w:name="Noto Sans Mono CJK SC">
    <w:family w:val="auto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420"/>
  <w:compat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DejaVu Sans" w:hAnsi="DejaVu Sans" w:eastAsia="Noto Sans CJK SC" w:cs="Noto Sans CJK SC"/>
        <w:sz w:val="19"/>
        <w:szCs w:val="19"/>
        <w:lang w:val="zh-CN" w:eastAsia="zh-CN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BodyText">
    <w:name w:val="Body Text"/>
    <w:basedOn w:val="Normal"/>
    <w:rPr>
      <w:color w:val="1C1A20"/>
    </w:rPr>
  </w:style>
  <w:style w:type="paragraph" w:styleId="Heading1">
    <w:name w:val="heading 1"/>
    <w:basedOn w:val="Normal"/>
    <w:pPr>
      <w:keepNext/>
      <w:spacing w:before="300" w:after="120"/>
      <w:outlineLvl w:val="0"/>
    </w:pPr>
    <w:rPr>
      <w:rFonts w:ascii="DejaVu Sans Mono" w:hAnsi="DejaVu Sans Mono" w:eastAsia="Noto Sans Mono CJK SC" w:cs="Noto Sans Mono CJK SC"/>
      <w:b/>
      <w:color w:val="4C3A63"/>
      <w:sz w:val="26"/>
      <w:szCs w:val="26"/>
    </w:rPr>
  </w:style>
  <w:style w:type="paragraph" w:styleId="Heading2">
    <w:name w:val="heading 2"/>
    <w:basedOn w:val="Normal"/>
    <w:pPr>
      <w:keepNext/>
      <w:spacing w:before="240" w:after="120"/>
      <w:outlineLvl w:val="1"/>
    </w:pPr>
    <w:rPr>
      <w:rFonts w:ascii="DejaVu Sans Mono" w:hAnsi="DejaVu Sans Mono" w:eastAsia="Noto Sans Mono CJK SC" w:cs="Noto Sans Mono CJK SC"/>
      <w:b/>
      <w:color w:val="4C3A63"/>
      <w:sz w:val="24"/>
      <w:szCs w:val="24"/>
    </w:rPr>
  </w:style>
  <w:style w:type="paragraph" w:styleId="Heading3">
    <w:name w:val="heading 3"/>
    <w:basedOn w:val="Normal"/>
    <w:pPr>
      <w:keepNext/>
      <w:spacing w:before="180" w:after="120"/>
      <w:outlineLvl w:val="2"/>
    </w:pPr>
    <w:rPr>
      <w:rFonts w:ascii="DejaVu Sans Mono" w:hAnsi="DejaVu Sans Mono" w:eastAsia="Noto Sans Mono CJK SC" w:cs="Noto Sans Mono CJK SC"/>
      <w:b/>
      <w:color w:val="5F5570"/>
      <w:sz w:val="22"/>
      <w:szCs w:val="22"/>
    </w:rPr>
  </w:style>
  <w:style w:type="table" w:styleId="TableGrid">
    <w:name w:val="Table Grid"/>
    <w:tblPr>
      <w:tblCellMar>
        <w:top w:w="72" w:type="dxa"/>
        <w:left w:w="108" w:type="dxa"/>
        <w:bottom w:w="72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Theme" Type="http://schemas.openxmlformats.org/officeDocument/2006/relationships/theme" Target="theme/theme1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ceanLeo">
  <a:themeElements>
    <a:clrScheme name="OceanLeo">
      <a:dk1>
        <a:sysClr val="windowText" lastClr="1C1A20"/>
      </a:dk1>
      <a:lt1>
        <a:sysClr val="window" lastClr="FFFFFF"/>
      </a:lt1>
      <a:dk2>
        <a:srgbClr val="5F5570"/>
      </a:dk2>
      <a:lt2>
        <a:srgbClr val="EFEBF4"/>
      </a:lt2>
      <a:accent1>
        <a:srgbClr val="4C3A63"/>
      </a:accent1>
      <a:accent2>
        <a:srgbClr val="C47323"/>
      </a:accent2>
      <a:accent3>
        <a:srgbClr val="2E8B6F"/>
      </a:accent3>
      <a:accent4>
        <a:srgbClr val="8E5BA6"/>
      </a:accent4>
      <a:accent5>
        <a:srgbClr val="CF222E"/>
      </a:accent5>
      <a:accent6>
        <a:srgbClr val="57606A"/>
      </a:accent6>
      <a:hlink>
        <a:srgbClr val="0969DA"/>
      </a:hlink>
      <a:folHlink>
        <a:srgbClr val="8250DF"/>
      </a:folHlink>
    </a:clrScheme>
    <a:fontScheme name="OceanLeo">
      <a:majorFont>
        <a:latin typeface="DejaVu Sans Mono"/>
        <a:ea typeface="Noto Sans Mono CJK SC"/>
        <a:cs typeface=""/>
      </a:majorFont>
      <a:minorFont>
        <a:latin typeface="DejaVu Sans"/>
        <a:ea typeface="Noto Sans CJK SC"/>
        <a:cs typeface=""/>
      </a:minorFont>
    </a:fontScheme>
    <a:fmtScheme name="OceanLe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oceanleo-tool-doc-docx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医疗质量与安全管理委员会 2026 年第三次会议决议纪要</dc:title>
  <dc:subject>按决议纪要体排的正式会议文件：议题三层编号，每项固定「决议—依据—责任人与时点」三拍，末尾决议汇总表与表决记录表。</dc:subject>
  <dc:creator>OceanLeo</dc:creator>
  <cp:lastModifiedBy>OceanLeo</cp:lastModifiedBy>
  <dcterms:created xsi:type="dcterms:W3CDTF">2026-07-29T00:00:00.000Z</dcterms:created>
  <dcterms:modified xsi:type="dcterms:W3CDTF">2026-07-29T00:00:00.000Z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ceanLeoCredits">
    <vt:lpwstr>OceanLeo (OCEANLEO-AIGEN)</vt:lpwstr>
  </property>
  <property fmtid="{D5CDD505-2E9C-101B-9397-08002B2CF9AE}" pid="3" name="OceanLeoOrderId">
    <vt:lpwstr>null</vt:lpwstr>
  </property>
  <property fmtid="{D5CDD505-2E9C-101B-9397-08002B2CF9AE}" pid="4" name="OceanLeoAssembler">
    <vt:lpwstr>ooxml</vt:lpwstr>
  </property>
</Properties>
</file>