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s" Type="http://schemas.openxmlformats.org/package/2006/relationships/metadata/core-properties" Target="docProps/core.xml"/><Relationship Id="rIdExtProps" Type="http://schemas.openxmlformats.org/officeDocument/2006/relationships/extended-properties" Target="docProps/app.xml"/><Relationship Id="rIdCredits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连锁餐饮后厨能耗托管服务提案（示例稿）</w:t>
      </w:r>
    </w:p>
    <w:p>
      <w:pPr>
        <w:pStyle w:val="BodyText"/>
      </w:pPr>
      <w:r>
        <w:t xml:space="preserve">提交对象：区域连锁餐饮运营负责人。本提案的每一节都可以单独读，页边留白供批注。全部数据为演示数据。</w:t>
      </w:r>
    </w:p>
    <w:p>
      <w:pPr>
        <w:pStyle w:val="Heading2"/>
      </w:pPr>
      <w:r>
        <w:t xml:space="preserve">为什么后厨的电费降不下来</w:t>
      </w:r>
    </w:p>
    <w:p>
      <w:pPr>
        <w:pStyle w:val="BodyText"/>
      </w:pPr>
      <w:r>
        <w:t xml:space="preserve">后厨的电费之所以年年上涨而无人能说清涨在哪里，是因为整店只有一块总表，没有任何一笔支出可以被归到具体设备上。</w:t>
      </w:r>
    </w:p>
    <w:p>
      <w:pPr>
        <w:pStyle w:val="BodyText"/>
        <w:ind w:left="420" w:hanging="210"/>
      </w:pPr>
      <w:r>
        <w:t xml:space="preserve">▸ 一张电费单只有一个数字，无法回答「冷柜和排烟哪个更费」这类最基本的问题。</w:t>
      </w:r>
    </w:p>
    <w:p>
      <w:pPr>
        <w:pStyle w:val="BodyText"/>
        <w:ind w:left="420" w:hanging="210"/>
      </w:pPr>
      <w:r>
        <w:t xml:space="preserve">▸ 店长的节能动作只能靠经验，做了也看不出效果，两个月后自然放弃。</w:t>
      </w:r>
    </w:p>
    <w:p>
      <w:pPr>
        <w:pStyle w:val="BodyText"/>
        <w:ind w:left="420" w:hanging="210"/>
      </w:pPr>
      <w:r>
        <w:t xml:space="preserve">▸ 总部想比较门店之间的能耗水平，只能用「每平方米电费」这种被营业时长和菜品结构污染的指标。</w:t>
      </w:r>
    </w:p>
    <w:p>
      <w:pPr>
        <w:pStyle w:val="BodyText"/>
        <w:ind w:left="420" w:hanging="210"/>
      </w:pPr>
      <w:r>
        <w:t xml:space="preserve">▸ 设备老化是渐进的，没有分项数据时，压缩机效率下降三成也不会触发任何人的注意。</w:t>
      </w:r>
    </w:p>
    <w:p>
      <w:pPr>
        <w:pStyle w:val="Heading2"/>
      </w:pPr>
      <w:r>
        <w:t xml:space="preserve">托管服务做的是三件事，不是卖设备</w:t>
      </w:r>
    </w:p>
    <w:p>
      <w:pPr>
        <w:pStyle w:val="BodyText"/>
      </w:pPr>
      <w:r>
        <w:t xml:space="preserve">本方案不以设备采购为前提，它先让能耗可见，再动运行时序，只有在回收期算得过来时才谈更换。</w:t>
      </w:r>
    </w:p>
    <w:p>
      <w:pPr>
        <w:jc w:val="left"/>
      </w:pPr>
      <w:r>
        <w:drawing>
          <wp:inline distT="0" distB="0" distL="0" distR="0">
            <wp:extent cx="2847975" cy="1685925"/>
            <wp:docPr id="1000" name="后厨能耗托管的三段结构"/>
            <a:graphic>
              <a:graphicData uri="http://schemas.openxmlformats.org/drawingml/2006/picture">
                <pic:pic>
                  <pic:nvPicPr>
                    <pic:cNvPr id="1000" name="image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上图三列自左向右是：用能环节、托管动作、结算方式。三列一一对应，任何一列单独成立都不构成服务。</w:t>
      </w:r>
    </w:p>
    <w:p>
      <w:pPr>
        <w:pStyle w:val="BodyText"/>
        <w:ind w:left="420" w:hanging="210"/>
      </w:pPr>
      <w:r>
        <w:t xml:space="preserve">▸ 分项计量：冷藏冷冻、蒸煮炒制、排烟新风、照明与其他，四路独立上表，数据按小时回传。</w:t>
      </w:r>
    </w:p>
    <w:p>
      <w:pPr>
        <w:pStyle w:val="BodyText"/>
        <w:ind w:left="420" w:hanging="210"/>
      </w:pPr>
      <w:r>
        <w:t xml:space="preserve">▸ 时序调度：非营业时段按预设曲线降载，冷柜在电价低谷时段预冷，排烟随灶头启停联动。</w:t>
      </w:r>
    </w:p>
    <w:p>
      <w:pPr>
        <w:pStyle w:val="BodyText"/>
        <w:ind w:left="420" w:hanging="210"/>
      </w:pPr>
      <w:r>
        <w:t xml:space="preserve">▸ 设备替换：只更换在演示口径下回收期短于三年的设备，其余维持原状并记录劣化趋势。</w:t>
      </w:r>
    </w:p>
    <w:p>
      <w:pPr>
        <w:pStyle w:val="Heading2"/>
      </w:pPr>
      <w:r>
        <w:t xml:space="preserve">钱怎么算</w:t>
      </w:r>
    </w:p>
    <w:p>
      <w:pPr>
        <w:pStyle w:val="BodyText"/>
      </w:pPr>
      <w:r>
        <w:t xml:space="preserve">服务不收固定费用，按实际节省额分成，门店在任何一个考核年度都不承担现金支出增加的风险。</w:t>
      </w:r>
    </w:p>
    <w:p>
      <w:pPr>
        <w:pStyle w:val="BodyText"/>
        <w:ind w:left="420" w:hanging="210"/>
      </w:pPr>
      <w:r>
        <w:t xml:space="preserve">▸ 基线取托管前连续 12 个月的同期能耗，按营业时长与气温做两项校正，校正方法在附件中写死，不逐期协商。</w:t>
      </w:r>
    </w:p>
    <w:p>
      <w:pPr>
        <w:pStyle w:val="BodyText"/>
        <w:ind w:left="420" w:hanging="210"/>
      </w:pPr>
      <w:r>
        <w:t xml:space="preserve">▸ 分成比例在演示口径下取节省额的四成，服务期五年，期满后计量设备产权无偿转移给门店。</w:t>
      </w:r>
    </w:p>
    <w:p>
      <w:pPr>
        <w:pStyle w:val="BodyText"/>
        <w:ind w:left="420" w:hanging="210"/>
      </w:pPr>
      <w:r>
        <w:t xml:space="preserve">▸ 营业时长发生结构性变动（如全天营业改为分时段）时重算基线；更换菜单或调整客单价不重算。</w:t>
      </w:r>
    </w:p>
    <w:p>
      <w:pPr>
        <w:pStyle w:val="BodyText"/>
        <w:ind w:left="420" w:hanging="210"/>
      </w:pPr>
      <w:r>
        <w:t xml:space="preserve">▸ 任一考核年度节省额未达到承诺值的七成，门店可单方终止且不承担违约金。</w:t>
      </w:r>
    </w:p>
    <w:p>
      <w:pPr>
        <w:pStyle w:val="Heading2"/>
      </w:pPr>
      <w:r>
        <w:t xml:space="preserve">先做一家店，再谈全区</w:t>
      </w:r>
    </w:p>
    <w:p>
      <w:pPr>
        <w:pStyle w:val="BodyText"/>
      </w:pPr>
      <w:r>
        <w:t xml:space="preserve">建议以单店试点起步，用三个月拿到可核对的分项数据，再决定是否推广，而不是先签框架协议。</w:t>
      </w:r>
    </w:p>
    <w:p>
      <w:pPr>
        <w:pStyle w:val="BodyText"/>
        <w:ind w:left="420" w:hanging="210"/>
      </w:pPr>
      <w:r>
        <w:t xml:space="preserve">▸ 试点店的选择标准是「营业时长稳定、设备构成典型」，不选能耗最高的那家——那家的节省空间不具代表性。</w:t>
      </w:r>
    </w:p>
    <w:p>
      <w:pPr>
        <w:pStyle w:val="BodyText"/>
        <w:ind w:left="420" w:hanging="210"/>
      </w:pPr>
      <w:r>
        <w:t xml:space="preserve">▸ 第一个月只装表不做任何调度动作，这一个月的数据就是基线校验，也是双方建立信任的凭据。</w:t>
      </w:r>
    </w:p>
    <w:p>
      <w:pPr>
        <w:pStyle w:val="BodyText"/>
        <w:ind w:left="420" w:hanging="210"/>
      </w:pPr>
      <w:r>
        <w:t xml:space="preserve">▸ 第二、三个月逐项开启调度，每开一项单独记录效果，避免几项叠加后说不清是哪一项起了作用。</w:t>
      </w:r>
    </w:p>
    <w:p>
      <w:pPr>
        <w:pStyle w:val="BodyText"/>
        <w:ind w:left="420" w:hanging="210"/>
      </w:pPr>
      <w:r>
        <w:t xml:space="preserve">▸ 三个月结束时给出一份可核对的账：省了多少度、折合多少钱、哪一项贡献最大。</w:t>
      </w:r>
    </w:p>
    <w:p>
      <w:pPr>
        <w:pStyle w:val="Heading2"/>
      </w:pPr>
      <w:r>
        <w:t xml:space="preserve">需要门店配合的三件事</w:t>
      </w:r>
    </w:p>
    <w:p>
      <w:pPr>
        <w:pStyle w:val="BodyText"/>
      </w:pPr>
      <w:r>
        <w:t xml:space="preserve">本方案对门店日常经营的干扰被控制在最小，但有三件事必须门店配合，否则服务无法成立。</w:t>
      </w:r>
    </w:p>
    <w:p>
      <w:pPr>
        <w:pStyle w:val="BodyText"/>
        <w:ind w:left="420" w:hanging="210"/>
      </w:pPr>
      <w:r>
        <w:t xml:space="preserve">▸ 一次停电两小时的装表窗口，可安排在闭店后进行。</w:t>
      </w:r>
    </w:p>
    <w:p>
      <w:pPr>
        <w:pStyle w:val="BodyText"/>
        <w:ind w:left="420" w:hanging="210"/>
      </w:pPr>
      <w:r>
        <w:t xml:space="preserve">▸ 指定一名店内联系人，负责确认每月的能耗账单与异常告警，每月约需半小时。</w:t>
      </w:r>
    </w:p>
    <w:p>
      <w:pPr>
        <w:pStyle w:val="BodyText"/>
        <w:ind w:left="420" w:hanging="210"/>
      </w:pPr>
      <w:r>
        <w:t xml:space="preserve">▸ 允许在非营业时段按调度曲线运行设备，出现影响出品的情况时随时可以人工接管。</w:t>
      </w:r>
    </w:p>
    <w:p>
      <w:pPr>
        <w:pStyle w:val="BodyText"/>
      </w:pPr>
      <w:r>
        <w:t xml:space="preserve">（本件为 OceanLeo 第一方原创示例文档，示意图为本件自绘，全部数字为演示数据，不构成任何商业报价。）</w:t>
      </w:r>
    </w:p>
    <w:sectPr>
      <w:pgSz w:w="11906" w:h="16838"/>
      <w:pgMar w:top="1134" w:right="1021" w:bottom="1247" w:left="1928" w:header="567" w:footer="624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DejaVu Serif">
    <w:family w:val="swiss"/>
    <w:pitch w:val="variable"/>
  </w:font>
  <w:font w:name="Noto Serif CJK SC">
    <w:family w:val="auto"/>
    <w:pitch w:val="variable"/>
  </w:font>
  <w:font w:name="DejaVu Sans">
    <w:family w:val="auto"/>
    <w:pitch w:val="variable"/>
  </w:font>
  <w:font w:name="Noto Sans CJK SC">
    <w:family w:val="auto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420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DejaVu Serif" w:hAnsi="DejaVu Serif" w:eastAsia="Noto Serif CJK SC" w:cs="Noto Serif CJK SC"/>
        <w:sz w:val="21"/>
        <w:szCs w:val="21"/>
        <w:lang w:val="zh-CN" w:eastAsia="zh-CN"/>
      </w:rPr>
    </w:rPrDefault>
    <w:pPrDefault>
      <w:pPr>
        <w:spacing w:after="200" w:line="360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  <w:rPr>
      <w:color w:val="1A2426"/>
    </w:rPr>
  </w:style>
  <w:style w:type="paragraph" w:styleId="Heading1">
    <w:name w:val="heading 1"/>
    <w:basedOn w:val="Normal"/>
    <w:pPr>
      <w:keepNext/>
      <w:spacing w:before="300" w:after="120"/>
      <w:outlineLvl w:val="0"/>
    </w:pPr>
    <w:rPr>
      <w:rFonts w:ascii="DejaVu Sans" w:hAnsi="DejaVu Sans" w:eastAsia="Noto Sans CJK SC" w:cs="Noto Sans CJK SC"/>
      <w:b/>
      <w:color w:val="0E7490"/>
      <w:sz w:val="36"/>
      <w:szCs w:val="36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rFonts w:ascii="DejaVu Sans" w:hAnsi="DejaVu Sans" w:eastAsia="Noto Sans CJK SC" w:cs="Noto Sans CJK SC"/>
      <w:b/>
      <w:color w:val="0E7490"/>
      <w:sz w:val="28"/>
      <w:szCs w:val="28"/>
    </w:rPr>
  </w:style>
  <w:style w:type="paragraph" w:styleId="Heading3">
    <w:name w:val="heading 3"/>
    <w:basedOn w:val="Normal"/>
    <w:pPr>
      <w:keepNext/>
      <w:spacing w:before="180" w:after="120"/>
      <w:outlineLvl w:val="2"/>
    </w:pPr>
    <w:rPr>
      <w:rFonts w:ascii="DejaVu Sans" w:hAnsi="DejaVu Sans" w:eastAsia="Noto Sans CJK SC" w:cs="Noto Sans CJK SC"/>
      <w:b/>
      <w:color w:val="3B6E7A"/>
      <w:sz w:val="24"/>
      <w:szCs w:val="24"/>
    </w:rPr>
  </w:style>
  <w:style w:type="table" w:styleId="TableGrid">
    <w:name w:val="Table Grid"/>
    <w:tblPr>
      <w:tblCellMar>
        <w:top w:w="72" w:type="dxa"/>
        <w:left w:w="108" w:type="dxa"/>
        <w:bottom w:w="72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Theme" Type="http://schemas.openxmlformats.org/officeDocument/2006/relationships/theme" Target="theme/theme1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10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ceanLeo">
  <a:themeElements>
    <a:clrScheme name="OceanLeo">
      <a:dk1>
        <a:sysClr val="windowText" lastClr="1A2426"/>
      </a:dk1>
      <a:lt1>
        <a:sysClr val="window" lastClr="FFFFFF"/>
      </a:lt1>
      <a:dk2>
        <a:srgbClr val="3B6E7A"/>
      </a:dk2>
      <a:lt2>
        <a:srgbClr val="E6F1F4"/>
      </a:lt2>
      <a:accent1>
        <a:srgbClr val="0E7490"/>
      </a:accent1>
      <a:accent2>
        <a:srgbClr val="C47323"/>
      </a:accent2>
      <a:accent3>
        <a:srgbClr val="2E8B6F"/>
      </a:accent3>
      <a:accent4>
        <a:srgbClr val="8E5BA6"/>
      </a:accent4>
      <a:accent5>
        <a:srgbClr val="CF222E"/>
      </a:accent5>
      <a:accent6>
        <a:srgbClr val="57606A"/>
      </a:accent6>
      <a:hlink>
        <a:srgbClr val="0969DA"/>
      </a:hlink>
      <a:folHlink>
        <a:srgbClr val="8250DF"/>
      </a:folHlink>
    </a:clrScheme>
    <a:fontScheme name="OceanLeo">
      <a:majorFont>
        <a:latin typeface="DejaVu Sans"/>
        <a:ea typeface="Noto Sans CJK SC"/>
        <a:cs typeface=""/>
      </a:majorFont>
      <a:minorFont>
        <a:latin typeface="DejaVu Serif"/>
        <a:ea typeface="Noto Serif CJK SC"/>
        <a:cs typeface=""/>
      </a:minorFont>
    </a:fontScheme>
    <a:fmtScheme name="OceanLe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oceanleo-tool-doc-docx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连锁餐饮后厨能耗托管服务提案（示例稿）</dc:title>
  <dc:subject>按提案速览体排的一份对外方案：单栏加宽批注栏，每节固定「一句话主张 + 三到五条并列要点」，配一幅半栏结构示意图。</dc:subject>
  <dc:creator>OceanLeo</dc:creator>
  <cp:lastModifiedBy>OceanLeo</cp:lastModifiedBy>
  <dcterms:created xsi:type="dcterms:W3CDTF">2026-07-29T00:00:00.000Z</dcterms:created>
  <dcterms:modified xsi:type="dcterms:W3CDTF">2026-07-29T00:00:00.000Z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ceanLeoCredits">
    <vt:lpwstr>OceanLeo (OCEANLEO-AIGEN)</vt:lpwstr>
  </property>
  <property fmtid="{D5CDD505-2E9C-101B-9397-08002B2CF9AE}" pid="3" name="OceanLeoOrderId">
    <vt:lpwstr>null</vt:lpwstr>
  </property>
  <property fmtid="{D5CDD505-2E9C-101B-9397-08002B2CF9AE}" pid="4" name="OceanLeoAssembler">
    <vt:lpwstr>ooxml</vt:lpwstr>
  </property>
</Properties>
</file>