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OfficeDocument" Type="http://schemas.openxmlformats.org/officeDocument/2006/relationships/officeDocument" Target="word/document.xml"/><Relationship Id="rIdCoreProps" Type="http://schemas.openxmlformats.org/package/2006/relationships/metadata/core-properties" Target="docProps/core.xml"/><Relationship Id="rIdExtProps" Type="http://schemas.openxmlformats.org/officeDocument/2006/relationships/extended-properties" Target="docProps/app.xml"/><Relationship Id="rIdCredits1"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县域分布式光伏并网消纳白皮书（2026）</w:t>
      </w:r>
    </w:p>
    <w:p>
      <w:pPr>
        <w:pStyle w:val="BodyText"/>
      </w:pPr>
      <w:r>
        <w:t xml:space="preserve">本白皮书讨论的是一个已经从「装得下」转向「用得掉」的问题。过去五年，县域分布式光伏的讨论重心一直是如何把板子铺出去；到 2026 年，制约进一步铺开的已经不是屋顶资源，也不是组件成本，而是配电网在正午时段接不接得住、以及接住之后这些电能不能在当地被用掉。本文的立场是：消纳不是并网之后再解决的运行问题，它在项目选址与容量核定的那一刻就已经被决定了。</w:t>
      </w:r>
    </w:p>
    <w:p>
      <w:pPr>
        <w:pStyle w:val="BodyText"/>
      </w:pPr>
      <w:r>
        <w:t xml:space="preserve">为避免误读，先说清本文的数据口径。文中所有数值均为演示数据，用于说明量级关系与论证结构，不指向任何具体县域、电网企业或开发主体。凡涉及比例的表述，分母都在同一句话里写明。</w:t>
      </w:r>
    </w:p>
    <w:p>
      <w:pPr>
        <w:pStyle w:val="Heading2"/>
      </w:pPr>
      <w:r>
        <w:t xml:space="preserve">一、现状：增长曲线与承载曲线正在交叉</w:t>
      </w:r>
    </w:p>
    <w:p>
      <w:pPr>
        <w:pStyle w:val="BodyText"/>
      </w:pPr>
      <w:r>
        <w:t xml:space="preserve">县域分布式光伏的增长具有很强的自组织特征。一个村庄里第一户装机之后，第二年往往会出现七到十户跟进，这既来自可见的收益示范，也来自安装商在同一区域内的规模化获客。这种扩散方式的后果是装机在空间上高度聚集：全县装机容量的增长看起来平缓，但落到单个配电台区上，容量可能在两个自然年内翻上三倍。</w:t>
      </w:r>
    </w:p>
    <w:p>
      <w:pPr>
        <w:pStyle w:val="BodyText"/>
      </w:pPr>
      <w:r>
        <w:t xml:space="preserve">与之相对的是配电侧的承载能力。低压配电网在规划时按最大负荷设计，其潮流方向被默认为自变电站流向用户。分布式光伏在正午出力高峰时段把这个方向反转过来，线路末端的电压随之抬升。当某一台区的光伏装机超过其配变容量的八成，正午时段末端电压越上限的概率在演示数据中从个位数百分比跳到三成以上。这不是一条平滑上升的曲线，它有明显的拐点，而拐点的位置取决于线路长度与负荷分布，不取决于装机总量。</w:t>
      </w:r>
    </w:p>
    <w:p>
      <w:pPr>
        <w:pStyle w:val="BodyText"/>
      </w:pPr>
      <w:r>
        <w:t xml:space="preserve">两条曲线在县域尺度上正在交叉。截至演示数据的统计时点，样本县域内约有百分之十七的配变台区装机渗透率超过八成，其中约四成集中在三个乡镇。也就是说，全县层面看起来仍有余量，而问题已经在局部形成。任何以全县装机总量与全县最大负荷相比得出的「消纳压力不大」的结论，都因为掩盖了这种空间不均而失去意义。</w:t>
      </w:r>
    </w:p>
    <w:p>
      <w:pPr>
        <w:pStyle w:val="Heading2"/>
      </w:pPr>
      <w:r>
        <w:t xml:space="preserve">二、三个约束，以及它们各自的真实边界</w:t>
      </w:r>
    </w:p>
    <w:p>
      <w:pPr>
        <w:pStyle w:val="BodyText"/>
      </w:pPr>
      <w:r>
        <w:t xml:space="preserve">第一个约束是配电网的物理承载。它是硬约束，越过之后表现为电压越限与反向重过载，直接影响同一台区上其他用户的用电质量。这个约束可以通过增容改造缓解，但改造的经济性取决于该台区未来的负荷增长预期，而不取决于光伏本身。把增容成本全部计入光伏项目，会让本来合理的项目算不过账；完全不计入，则等于让全体用户为个别项目的收益买单。本文认为这笔成本应当按台区未来五年的负荷增长预期分摊，这是一个需要在核价规则里写明的判断，不是运行层面能解决的问题。</w:t>
      </w:r>
    </w:p>
    <w:p>
      <w:pPr>
        <w:pStyle w:val="BodyText"/>
      </w:pPr>
      <w:r>
        <w:t xml:space="preserve">第二个约束是负荷与出力在时间上的错配。县域的用电高峰通常出现在傍晚与夜间，而光伏出力集中在上午十点到下午三点之间。演示数据显示，样本县域内农村居民负荷的日峰谷差约为三点二倍，峰值时刻与光伏出力峰值相差约五小时。这个错配不能通过增容解决，因为它不是容量问题，是时序问题。它也不能仅靠上网解决，因为把电送出去仍然要占用同一条线路的容量。</w:t>
      </w:r>
    </w:p>
    <w:p>
      <w:pPr>
        <w:pStyle w:val="BodyText"/>
      </w:pPr>
      <w:r>
        <w:t xml:space="preserve">第三个约束是可观测性，它常被忽略而实际上最先起作用。相当比例的县域分布式光伏没有接入调度数据采集，运行人员看不到实时出力，只能通过关口表事后倒推。在这种条件下，即便配置了调节手段也无从触发。演示数据中，样本县域已并网项目的实时数据接入率约为百分之四十六，其余项目的出力只能按辐照度与装机容量估算，估算误差在多云天气下可以达到三成。一个看不见的系统无法被调度，这一点先于任何调度策略成立。</w:t>
      </w:r>
    </w:p>
    <w:p>
      <w:pPr>
        <w:pStyle w:val="BodyText"/>
      </w:pPr>
      <w:r>
        <w:t xml:space="preserve">这三个约束的边界不同，因而应对手段也不该混为一谈。承载约束靠工程手段，错配约束靠时序手段，可观测约束靠数据接入。把它们统称为「消纳问题」并寻找一个统一的解决方案，是过去几年很多试点走过的弯路。</w:t>
      </w:r>
    </w:p>
    <w:p>
      <w:pPr>
        <w:pStyle w:val="Heading2"/>
      </w:pPr>
      <w:r>
        <w:t xml:space="preserve">三、路径：优先级取决于成本，而不是技术先进性</w:t>
      </w:r>
    </w:p>
    <w:p>
      <w:pPr>
        <w:pStyle w:val="BodyText"/>
      </w:pPr>
      <w:r>
        <w:t xml:space="preserve">在演示数据的成本口径下，四类手段的单位消纳成本存在数量级差异，因而应当有明确的先后。最先应该做的是数据接入与可观测性建设，它的单位投入最低，且是其余三项的前提。一个台区的采集与通信改造，其成本在演示数据中约相当于同容量储能投资的百分之三，而它带来的不是消纳能力本身，是让后续所有手段可以被触发的条件。</w:t>
      </w:r>
    </w:p>
    <w:p>
      <w:pPr>
        <w:pStyle w:val="BodyText"/>
      </w:pPr>
      <w:r>
        <w:t xml:space="preserve">其次是负荷侧的时序调整。农业排灌、冷库、电动车充电、乡镇加工设备，这几类负荷有一个共同特征：它们对用电时刻不敏感，只对用电总量敏感。把这部分负荷从傍晚移到正午，不需要新增任何设备，只需要一套能被信任的价格信号或调度约定。演示数据显示，样本县域内这类可平移负荷约占日总用电量的百分之十九，若其中三分之一实现平移，可以吸收当前正午过剩出力的近一半。这是四类手段里投入产出比最高的一类，也是推进阻力最大的一类，因为它涉及的是人的用电习惯与信任，不是设备。</w:t>
      </w:r>
    </w:p>
    <w:p>
      <w:pPr>
        <w:pStyle w:val="BodyText"/>
      </w:pPr>
      <w:r>
        <w:t xml:space="preserve">第三是台区级储能。它有效，但它的经济性高度依赖于充放电循环次数。在只做正午充、傍晚放的单循环模式下，演示数据中的投资回收期超过设备设计寿命的一半，需要叠加调峰辅助服务收益或容量补偿才能成立。因此储能应当被定位为局部解，用在那些已经越过承载拐点、且增容改造成本更高的台区，而不是作为普遍配置推广。</w:t>
      </w:r>
    </w:p>
    <w:p>
      <w:pPr>
        <w:pStyle w:val="BodyText"/>
      </w:pPr>
      <w:r>
        <w:t xml:space="preserve">最后才是增容改造。它是最确定也最昂贵的手段，应当留给前三项都用尽之后仍然越限的台区。把增容作为首选，等于用最贵的方式解决了本来可以用最便宜的方式解决的问题，而且改造后的余量往往在两三年内被新增装机重新占满。</w:t>
      </w:r>
    </w:p>
    <w:p>
      <w:pPr>
        <w:pStyle w:val="Heading2"/>
      </w:pPr>
      <w:r>
        <w:t xml:space="preserve">四、建议：把消纳判断前移到核准环节</w:t>
      </w:r>
    </w:p>
    <w:p>
      <w:pPr>
        <w:pStyle w:val="BodyText"/>
      </w:pPr>
      <w:r>
        <w:t xml:space="preserve">本文的核心建议只有一条：把台区级的消纳能力评估从并网验收环节前移到项目备案环节。今天的普遍做法是先备案、后评估，评估发现问题时项目已经完成投资决策，退回的成本极高，于是实际结果往往是接入之后再想办法。前移之后，开发主体在选址阶段就会主动避开已经饱和的台区，这比任何事后的调度手段都更有效，因为它改变的是投资的空间分布。</w:t>
      </w:r>
    </w:p>
    <w:p>
      <w:pPr>
        <w:pStyle w:val="BodyText"/>
      </w:pPr>
      <w:r>
        <w:t xml:space="preserve">与之配套的是两项基础工作。其一是台区级承载能力的定期公开：把每个台区的剩余可接入容量按季度更新并公开发布，使其成为开发主体可以查询的公共信息。其二是把实时数据接入作为并网的前置条件而非事后要求，这一条的成本很低，而它决定了整个系统是否可被管理。</w:t>
      </w:r>
    </w:p>
    <w:p>
      <w:pPr>
        <w:pStyle w:val="BodyText"/>
      </w:pPr>
      <w:r>
        <w:t xml:space="preserve">需要说明的是，这两项工作都不属于技术难题，它们的难点在于责任划分与信息公开的意愿。本文之所以把它们列为核心建议，正是因为在演示数据所反映的量级关系下，技术手段的边际效果已经明显小于制度安排的边际效果。继续在调度算法与储能配置上加码，而不解决前移与公开这两件事，会让后续投入的回报持续下降。</w:t>
      </w:r>
    </w:p>
    <w:p>
      <w:pPr>
        <w:pStyle w:val="BodyText"/>
      </w:pPr>
      <w:r>
        <w:t xml:space="preserve">本白皮书为 OceanLeo 第一方原创示例文档，全部数据为演示数据，论证结构与版面写法用于展示白皮书双栏体的落地形态，不构成任何投资或政策建议。</w:t>
      </w:r>
    </w:p>
    <w:sectPr>
      <w:pgSz w:w="11906" w:h="16838"/>
      <w:pgMar w:top="1474" w:right="1247" w:bottom="1474" w:left="1247" w:header="737" w:footer="737" w:gutter="0"/>
      <w:cols w:num="2" w:space="454" w:equalWidth="1">
        <w:col w:w="4479" w:space="454"/>
        <w:col w:w="4479" w:space="454"/>
      </w:cols>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DejaVu Serif">
    <w:family w:val="swiss"/>
    <w:pitch w:val="variable"/>
  </w:font>
  <w:font w:name="Noto Serif CJK SC">
    <w:family w:val="auto"/>
    <w:pitch w:val="variable"/>
  </w:font>
</w:fonts>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420"/>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DejaVu Serif" w:hAnsi="DejaVu Serif" w:eastAsia="Noto Serif CJK SC" w:cs="Noto Serif CJK SC"/>
        <w:sz w:val="19"/>
        <w:szCs w:val="19"/>
        <w:lang w:val="zh-CN" w:eastAsia="zh-CN"/>
      </w:rPr>
    </w:rPrDefault>
    <w:pPrDefault>
      <w:pPr>
        <w:spacing w:after="120" w:line="288" w:lineRule="auto"/>
      </w:pPr>
    </w:pPrDefault>
  </w:docDefaults>
  <w:style w:type="paragraph" w:default="1" w:styleId="Normal">
    <w:name w:val="Normal"/>
  </w:style>
  <w:style w:type="paragraph" w:styleId="BodyText">
    <w:name w:val="Body Text"/>
    <w:basedOn w:val="Normal"/>
    <w:rPr>
      <w:color w:val="23201F"/>
    </w:rPr>
  </w:style>
  <w:style w:type="paragraph" w:styleId="Heading1">
    <w:name w:val="heading 1"/>
    <w:basedOn w:val="Normal"/>
    <w:pPr>
      <w:keepNext/>
      <w:spacing w:before="300" w:after="120"/>
      <w:outlineLvl w:val="0"/>
    </w:pPr>
    <w:rPr>
      <w:b/>
      <w:color w:val="7B2D26"/>
      <w:sz w:val="56"/>
      <w:szCs w:val="56"/>
    </w:rPr>
  </w:style>
  <w:style w:type="paragraph" w:styleId="Heading2">
    <w:name w:val="heading 2"/>
    <w:basedOn w:val="Normal"/>
    <w:pPr>
      <w:keepNext/>
      <w:spacing w:before="240" w:after="120"/>
      <w:outlineLvl w:val="1"/>
    </w:pPr>
    <w:rPr>
      <w:b/>
      <w:color w:val="7B2D26"/>
      <w:sz w:val="34"/>
      <w:szCs w:val="34"/>
    </w:rPr>
  </w:style>
  <w:style w:type="paragraph" w:styleId="Heading3">
    <w:name w:val="heading 3"/>
    <w:basedOn w:val="Normal"/>
    <w:pPr>
      <w:keepNext/>
      <w:spacing w:before="180" w:after="120"/>
      <w:outlineLvl w:val="2"/>
    </w:pPr>
    <w:rPr>
      <w:b/>
      <w:color w:val="6B4A46"/>
      <w:sz w:val="26"/>
      <w:szCs w:val="26"/>
    </w:rPr>
  </w:style>
  <w:style w:type="table" w:styleId="TableGrid">
    <w:name w:val="Table Grid"/>
    <w:tblPr>
      <w:tblCellMar>
        <w:top w:w="72" w:type="dxa"/>
        <w:left w:w="108" w:type="dxa"/>
        <w:bottom w:w="72"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Theme" Type="http://schemas.openxmlformats.org/officeDocument/2006/relationships/theme" Target="theme/theme1.xml"/><Relationship Id="rIdSettings" Type="http://schemas.openxmlformats.org/officeDocument/2006/relationships/settings" Target="settings.xml"/><Relationship Id="rIdFontTable" Type="http://schemas.openxmlformats.org/officeDocument/2006/relationships/fontTable" Target="fontTable.xml"/></Relationships>
</file>

<file path=word/theme/theme1.xml><?xml version="1.0" encoding="utf-8"?>
<a:theme xmlns:a="http://schemas.openxmlformats.org/drawingml/2006/main" name="OceanLeo">
  <a:themeElements>
    <a:clrScheme name="OceanLeo">
      <a:dk1>
        <a:sysClr val="windowText" lastClr="23201F"/>
      </a:dk1>
      <a:lt1>
        <a:sysClr val="window" lastClr="FFFFFF"/>
      </a:lt1>
      <a:dk2>
        <a:srgbClr val="6B4A46"/>
      </a:dk2>
      <a:lt2>
        <a:srgbClr val="D9CFCB"/>
      </a:lt2>
      <a:accent1>
        <a:srgbClr val="7B2D26"/>
      </a:accent1>
      <a:accent2>
        <a:srgbClr val="C47323"/>
      </a:accent2>
      <a:accent3>
        <a:srgbClr val="2E8B6F"/>
      </a:accent3>
      <a:accent4>
        <a:srgbClr val="8E5BA6"/>
      </a:accent4>
      <a:accent5>
        <a:srgbClr val="CF222E"/>
      </a:accent5>
      <a:accent6>
        <a:srgbClr val="57606A"/>
      </a:accent6>
      <a:hlink>
        <a:srgbClr val="0969DA"/>
      </a:hlink>
      <a:folHlink>
        <a:srgbClr val="8250DF"/>
      </a:folHlink>
    </a:clrScheme>
    <a:fontScheme name="OceanLeo">
      <a:majorFont>
        <a:latin typeface="DejaVu Serif"/>
        <a:ea typeface="Noto Serif CJK SC"/>
        <a:cs typeface=""/>
      </a:majorFont>
      <a:minorFont>
        <a:latin typeface="DejaVu Serif"/>
        <a:ea typeface="Noto Serif CJK SC"/>
        <a:cs typeface=""/>
      </a:minorFont>
    </a:fontScheme>
    <a:fmtScheme name="OceanLeo">
      <a:fillStyleLst>
        <a:solidFill>
          <a:schemeClr val="phClr"/>
        </a:solidFill>
        <a:solidFill>
          <a:schemeClr val="phClr"/>
        </a:solidFill>
        <a:solidFill>
          <a:schemeClr val="phClr"/>
        </a:soli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oceanleo-tool-doc-docx</Applicat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dc:title>县域分布式光伏并网消纳白皮书（2026）</dc:title>
  <dc:subject>按白皮书双栏体排的一篇立场性长文：双栏连排、无图无表无清单，靠连续论证说服人，强调手段只有字号级差一样。</dc:subject>
  <dc:creator>OceanLeo</dc:creator>
  <cp:lastModifiedBy>OceanLeo</cp:lastModifiedBy>
  <dcterms:created xsi:type="dcterms:W3CDTF">2026-07-29T00:00:00.000Z</dcterms:created>
  <dcterms:modified xsi:type="dcterms:W3CDTF">2026-07-29T00:00:00.000Z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ceanLeoCredits">
    <vt:lpwstr>OceanLeo (OCEANLEO-AIGEN)</vt:lpwstr>
  </property>
  <property fmtid="{D5CDD505-2E9C-101B-9397-08002B2CF9AE}" pid="3" name="OceanLeoOrderId">
    <vt:lpwstr>null</vt:lpwstr>
  </property>
  <property fmtid="{D5CDD505-2E9C-101B-9397-08002B2CF9AE}" pid="4" name="OceanLeoAssembler">
    <vt:lpwstr>ooxml</vt:lpwstr>
  </property>
</Properties>
</file>