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AAA8" w14:textId="77777777" w:rsidR="000F03D3" w:rsidRPr="006371E6" w:rsidRDefault="00000000">
      <w:pPr>
        <w:spacing w:after="60"/>
        <w:jc w:val="center"/>
        <w:rPr>
          <w:lang w:val="es-AR"/>
        </w:rPr>
      </w:pPr>
      <w:r w:rsidRPr="006371E6">
        <w:rPr>
          <w:rFonts w:ascii="Calibri" w:eastAsia="Calibri" w:hAnsi="Calibri" w:cs="Calibri"/>
          <w:lang w:val="es-AR"/>
        </w:rPr>
        <w:t xml:space="preserve">Proyecto OIT–CEPAL · </w:t>
      </w:r>
      <w:proofErr w:type="spellStart"/>
      <w:r w:rsidRPr="006371E6">
        <w:rPr>
          <w:rFonts w:ascii="Calibri" w:eastAsia="Calibri" w:hAnsi="Calibri" w:cs="Calibri"/>
          <w:lang w:val="es-AR"/>
        </w:rPr>
        <w:t>MIP</w:t>
      </w:r>
      <w:proofErr w:type="spellEnd"/>
      <w:r w:rsidRPr="006371E6">
        <w:rPr>
          <w:rFonts w:ascii="Calibri" w:eastAsia="Calibri" w:hAnsi="Calibri" w:cs="Calibri"/>
          <w:lang w:val="es-AR"/>
        </w:rPr>
        <w:t xml:space="preserve"> Regional Armonizada</w:t>
      </w:r>
    </w:p>
    <w:p w14:paraId="4454D575" w14:textId="77777777" w:rsidR="000F03D3" w:rsidRPr="006371E6" w:rsidRDefault="00000000">
      <w:pPr>
        <w:spacing w:after="80"/>
        <w:jc w:val="center"/>
        <w:rPr>
          <w:lang w:val="es-AR"/>
        </w:rPr>
      </w:pPr>
      <w:r w:rsidRPr="006371E6">
        <w:rPr>
          <w:rFonts w:ascii="Calibri" w:eastAsia="Calibri" w:hAnsi="Calibri" w:cs="Calibri"/>
          <w:b/>
          <w:bCs/>
          <w:sz w:val="40"/>
          <w:szCs w:val="40"/>
          <w:lang w:val="es-AR"/>
        </w:rPr>
        <w:t xml:space="preserve">El empleo en la </w:t>
      </w:r>
      <w:proofErr w:type="spellStart"/>
      <w:r w:rsidRPr="006371E6">
        <w:rPr>
          <w:rFonts w:ascii="Calibri" w:eastAsia="Calibri" w:hAnsi="Calibri" w:cs="Calibri"/>
          <w:b/>
          <w:bCs/>
          <w:sz w:val="40"/>
          <w:szCs w:val="40"/>
          <w:lang w:val="es-AR"/>
        </w:rPr>
        <w:t>MIP</w:t>
      </w:r>
      <w:proofErr w:type="spellEnd"/>
      <w:r w:rsidRPr="006371E6">
        <w:rPr>
          <w:rFonts w:ascii="Calibri" w:eastAsia="Calibri" w:hAnsi="Calibri" w:cs="Calibri"/>
          <w:b/>
          <w:bCs/>
          <w:sz w:val="40"/>
          <w:szCs w:val="40"/>
          <w:lang w:val="es-AR"/>
        </w:rPr>
        <w:t xml:space="preserve"> de Uruguay 70×70</w:t>
      </w:r>
    </w:p>
    <w:p w14:paraId="058DCEF6" w14:textId="77777777" w:rsidR="000F03D3" w:rsidRPr="006371E6" w:rsidRDefault="00000000">
      <w:pPr>
        <w:spacing w:after="40"/>
        <w:jc w:val="center"/>
        <w:rPr>
          <w:lang w:val="es-AR"/>
        </w:rPr>
      </w:pPr>
      <w:r w:rsidRPr="006371E6">
        <w:rPr>
          <w:rFonts w:ascii="Calibri" w:eastAsia="Calibri" w:hAnsi="Calibri" w:cs="Calibri"/>
          <w:sz w:val="26"/>
          <w:szCs w:val="26"/>
          <w:lang w:val="es-AR"/>
        </w:rPr>
        <w:t>Nota metodológica y análisis de la serie 2018–2024</w:t>
      </w:r>
    </w:p>
    <w:p w14:paraId="2C496499" w14:textId="77777777" w:rsidR="000F03D3" w:rsidRPr="006371E6" w:rsidRDefault="00000000">
      <w:pPr>
        <w:spacing w:after="320"/>
        <w:jc w:val="center"/>
        <w:rPr>
          <w:lang w:val="es-AR"/>
        </w:rPr>
      </w:pPr>
      <w:r w:rsidRPr="006371E6">
        <w:rPr>
          <w:rFonts w:ascii="Calibri" w:eastAsia="Calibri" w:hAnsi="Calibri" w:cs="Calibri"/>
          <w:lang w:val="es-AR"/>
        </w:rPr>
        <w:t xml:space="preserve">Pedro Elosegui · </w:t>
      </w:r>
      <w:proofErr w:type="gramStart"/>
      <w:r w:rsidRPr="006371E6">
        <w:rPr>
          <w:rFonts w:ascii="Calibri" w:eastAsia="Calibri" w:hAnsi="Calibri" w:cs="Calibri"/>
          <w:lang w:val="es-AR"/>
        </w:rPr>
        <w:t>Octubre</w:t>
      </w:r>
      <w:proofErr w:type="gramEnd"/>
      <w:r w:rsidRPr="006371E6">
        <w:rPr>
          <w:rFonts w:ascii="Calibri" w:eastAsia="Calibri" w:hAnsi="Calibri" w:cs="Calibri"/>
          <w:lang w:val="es-AR"/>
        </w:rPr>
        <w:t xml:space="preserve"> 2026</w:t>
      </w:r>
    </w:p>
    <w:p w14:paraId="16A50206" w14:textId="77777777" w:rsidR="000F03D3" w:rsidRPr="006371E6" w:rsidRDefault="00000000">
      <w:pPr>
        <w:pStyle w:val="Ttulo1"/>
        <w:spacing w:before="320" w:after="120"/>
        <w:rPr>
          <w:color w:val="auto"/>
          <w:lang w:val="es-AR"/>
        </w:rPr>
      </w:pPr>
      <w:r w:rsidRPr="006371E6">
        <w:rPr>
          <w:rFonts w:ascii="Calibri" w:eastAsia="Calibri" w:hAnsi="Calibri" w:cs="Calibri"/>
          <w:b/>
          <w:bCs/>
          <w:color w:val="auto"/>
          <w:sz w:val="30"/>
          <w:szCs w:val="30"/>
          <w:lang w:val="es-AR"/>
        </w:rPr>
        <w:t>1. Propósito</w:t>
      </w:r>
    </w:p>
    <w:p w14:paraId="534B5BBF" w14:textId="005911C1" w:rsidR="000F03D3" w:rsidRPr="006371E6" w:rsidRDefault="00000000">
      <w:pPr>
        <w:spacing w:after="160"/>
        <w:jc w:val="both"/>
        <w:rPr>
          <w:lang w:val="es-AR"/>
        </w:rPr>
      </w:pPr>
      <w:r w:rsidRPr="006371E6">
        <w:rPr>
          <w:rFonts w:ascii="Calibri" w:eastAsia="Calibri" w:hAnsi="Calibri" w:cs="Calibri"/>
          <w:sz w:val="22"/>
          <w:szCs w:val="22"/>
          <w:lang w:val="es-AR"/>
        </w:rPr>
        <w:t xml:space="preserve">Esta nota documenta </w:t>
      </w:r>
      <w:r w:rsidR="006371E6">
        <w:rPr>
          <w:rFonts w:ascii="Calibri" w:eastAsia="Calibri" w:hAnsi="Calibri" w:cs="Calibri"/>
          <w:sz w:val="22"/>
          <w:szCs w:val="22"/>
          <w:lang w:val="es-AR"/>
        </w:rPr>
        <w:t xml:space="preserve">la fuente, el origen y los cálculos que sustentan la </w:t>
      </w:r>
      <w:r w:rsidRPr="006371E6">
        <w:rPr>
          <w:rFonts w:ascii="Calibri" w:eastAsia="Calibri" w:hAnsi="Calibri" w:cs="Calibri"/>
          <w:sz w:val="22"/>
          <w:szCs w:val="22"/>
          <w:lang w:val="es-AR"/>
        </w:rPr>
        <w:t>serie de empleo que acompaña a la Matriz Insumo-Producto de Uruguay de 70 sectores</w:t>
      </w:r>
      <w:r w:rsidR="006371E6">
        <w:rPr>
          <w:rFonts w:ascii="Calibri" w:eastAsia="Calibri" w:hAnsi="Calibri" w:cs="Calibri"/>
          <w:sz w:val="22"/>
          <w:szCs w:val="22"/>
          <w:lang w:val="es-AR"/>
        </w:rPr>
        <w:t>. Se describe</w:t>
      </w:r>
      <w:r w:rsidRPr="006371E6">
        <w:rPr>
          <w:rFonts w:ascii="Calibri" w:eastAsia="Calibri" w:hAnsi="Calibri" w:cs="Calibri"/>
          <w:sz w:val="22"/>
          <w:szCs w:val="22"/>
          <w:lang w:val="es-AR"/>
        </w:rPr>
        <w:t xml:space="preserve"> cómo se construyó, qué controles de consistencia se le aplicaron y qué dice sobre el mercado de trabajo uruguayo. La serie es el insumo de las cuentas satélite de género e informalidad, del cálculo del empleo sostenido por las exportaciones y de los multiplicadores de empleo.</w:t>
      </w:r>
    </w:p>
    <w:p w14:paraId="0D0B97BD" w14:textId="498CBA03" w:rsidR="000F03D3" w:rsidRPr="006371E6" w:rsidRDefault="00000000">
      <w:pPr>
        <w:pStyle w:val="Ttulo1"/>
        <w:spacing w:before="320" w:after="120"/>
        <w:rPr>
          <w:color w:val="auto"/>
          <w:lang w:val="es-AR"/>
        </w:rPr>
      </w:pPr>
      <w:r w:rsidRPr="006371E6">
        <w:rPr>
          <w:rFonts w:ascii="Calibri" w:eastAsia="Calibri" w:hAnsi="Calibri" w:cs="Calibri"/>
          <w:b/>
          <w:bCs/>
          <w:color w:val="auto"/>
          <w:sz w:val="30"/>
          <w:szCs w:val="30"/>
          <w:lang w:val="es-AR"/>
        </w:rPr>
        <w:t>2. Fuentes: la ECH del INE, microdato</w:t>
      </w:r>
      <w:r w:rsidR="006371E6">
        <w:rPr>
          <w:rFonts w:ascii="Calibri" w:eastAsia="Calibri" w:hAnsi="Calibri" w:cs="Calibri"/>
          <w:b/>
          <w:bCs/>
          <w:color w:val="auto"/>
          <w:sz w:val="30"/>
          <w:szCs w:val="30"/>
          <w:lang w:val="es-AR"/>
        </w:rPr>
        <w:t>.</w:t>
      </w:r>
    </w:p>
    <w:p w14:paraId="10C8EFFA" w14:textId="77777777" w:rsidR="000F03D3" w:rsidRPr="006371E6" w:rsidRDefault="00000000">
      <w:pPr>
        <w:spacing w:after="160"/>
        <w:jc w:val="both"/>
        <w:rPr>
          <w:lang w:val="es-AR"/>
        </w:rPr>
      </w:pPr>
      <w:r w:rsidRPr="006371E6">
        <w:rPr>
          <w:rFonts w:ascii="Calibri" w:eastAsia="Calibri" w:hAnsi="Calibri" w:cs="Calibri"/>
          <w:sz w:val="22"/>
          <w:szCs w:val="22"/>
          <w:lang w:val="es-AR"/>
        </w:rPr>
        <w:t>Toda la serie proviene de los microdatos de la Encuesta Continua de Hogares (ECH) del Instituto Nacional de Estadística, procesados año por año en su formato original. Se trabajó con las bases de uso público ("para terceros") de 2018 y 2019; con la base anual de la encuesta telefónica de 2020 (la ECH pasó a modalidad panel telefónico por la pandemia); con el primer semestre de 2021 más los seis archivos mensuales de julio a diciembre (año en que el INE rediseñó la encuesta e inició la implantación de la ECH continua); y con las bases anuales de 2022, 2023 y 2024.</w:t>
      </w:r>
    </w:p>
    <w:p w14:paraId="07AAF3C9" w14:textId="77777777" w:rsidR="000F03D3" w:rsidRPr="006371E6" w:rsidRDefault="00000000">
      <w:pPr>
        <w:spacing w:after="160"/>
        <w:jc w:val="both"/>
        <w:rPr>
          <w:lang w:val="es-AR"/>
        </w:rPr>
      </w:pPr>
      <w:r w:rsidRPr="006371E6">
        <w:rPr>
          <w:rFonts w:ascii="Calibri" w:eastAsia="Calibri" w:hAnsi="Calibri" w:cs="Calibri"/>
          <w:sz w:val="22"/>
          <w:szCs w:val="22"/>
          <w:lang w:val="es-AR"/>
        </w:rPr>
        <w:t>De cada base se usan cinco variables: la condición de actividad (</w:t>
      </w:r>
      <w:proofErr w:type="spellStart"/>
      <w:r w:rsidRPr="006371E6">
        <w:rPr>
          <w:rFonts w:ascii="Calibri" w:eastAsia="Calibri" w:hAnsi="Calibri" w:cs="Calibri"/>
          <w:sz w:val="22"/>
          <w:szCs w:val="22"/>
          <w:lang w:val="es-AR"/>
        </w:rPr>
        <w:t>pobpcoac</w:t>
      </w:r>
      <w:proofErr w:type="spellEnd"/>
      <w:r w:rsidRPr="006371E6">
        <w:rPr>
          <w:rFonts w:ascii="Calibri" w:eastAsia="Calibri" w:hAnsi="Calibri" w:cs="Calibri"/>
          <w:sz w:val="22"/>
          <w:szCs w:val="22"/>
          <w:lang w:val="es-AR"/>
        </w:rPr>
        <w:t xml:space="preserve"> = 2, ocupados), el ponderador de expansión (</w:t>
      </w:r>
      <w:proofErr w:type="spellStart"/>
      <w:r w:rsidRPr="006371E6">
        <w:rPr>
          <w:rFonts w:ascii="Calibri" w:eastAsia="Calibri" w:hAnsi="Calibri" w:cs="Calibri"/>
          <w:sz w:val="22"/>
          <w:szCs w:val="22"/>
          <w:lang w:val="es-AR"/>
        </w:rPr>
        <w:t>pesomen</w:t>
      </w:r>
      <w:proofErr w:type="spellEnd"/>
      <w:r w:rsidRPr="006371E6">
        <w:rPr>
          <w:rFonts w:ascii="Calibri" w:eastAsia="Calibri" w:hAnsi="Calibri" w:cs="Calibri"/>
          <w:sz w:val="22"/>
          <w:szCs w:val="22"/>
          <w:lang w:val="es-AR"/>
        </w:rPr>
        <w:t xml:space="preserve">, w o </w:t>
      </w:r>
      <w:proofErr w:type="spellStart"/>
      <w:r w:rsidRPr="006371E6">
        <w:rPr>
          <w:rFonts w:ascii="Calibri" w:eastAsia="Calibri" w:hAnsi="Calibri" w:cs="Calibri"/>
          <w:sz w:val="22"/>
          <w:szCs w:val="22"/>
          <w:lang w:val="es-AR"/>
        </w:rPr>
        <w:t>w_ano</w:t>
      </w:r>
      <w:proofErr w:type="spellEnd"/>
      <w:r w:rsidRPr="006371E6">
        <w:rPr>
          <w:rFonts w:ascii="Calibri" w:eastAsia="Calibri" w:hAnsi="Calibri" w:cs="Calibri"/>
          <w:sz w:val="22"/>
          <w:szCs w:val="22"/>
          <w:lang w:val="es-AR"/>
        </w:rPr>
        <w:t xml:space="preserve"> según el año), la rama de actividad de la ocupación principal en </w:t>
      </w:r>
      <w:proofErr w:type="spellStart"/>
      <w:r w:rsidRPr="006371E6">
        <w:rPr>
          <w:rFonts w:ascii="Calibri" w:eastAsia="Calibri" w:hAnsi="Calibri" w:cs="Calibri"/>
          <w:sz w:val="22"/>
          <w:szCs w:val="22"/>
          <w:lang w:val="es-AR"/>
        </w:rPr>
        <w:t>CIIU</w:t>
      </w:r>
      <w:proofErr w:type="spellEnd"/>
      <w:r w:rsidRPr="006371E6">
        <w:rPr>
          <w:rFonts w:ascii="Calibri" w:eastAsia="Calibri" w:hAnsi="Calibri" w:cs="Calibri"/>
          <w:sz w:val="22"/>
          <w:szCs w:val="22"/>
          <w:lang w:val="es-AR"/>
        </w:rPr>
        <w:t xml:space="preserve"> revisión 4 a cuatro dígitos (f72_2), el sexo (e26) y el aporte a caja de jubilaciones (f82), que define la informalidad. El empleo anual de cada sector es el promedio de los doce meses: la suma de ponderadores de los ocupados dividida por doce.</w:t>
      </w:r>
    </w:p>
    <w:p w14:paraId="44570EB5" w14:textId="77777777" w:rsidR="000F03D3" w:rsidRPr="006371E6" w:rsidRDefault="00000000">
      <w:pPr>
        <w:pStyle w:val="Ttulo1"/>
        <w:spacing w:before="320" w:after="120"/>
        <w:rPr>
          <w:color w:val="auto"/>
          <w:lang w:val="es-AR"/>
        </w:rPr>
      </w:pPr>
      <w:r w:rsidRPr="006371E6">
        <w:rPr>
          <w:rFonts w:ascii="Calibri" w:eastAsia="Calibri" w:hAnsi="Calibri" w:cs="Calibri"/>
          <w:b/>
          <w:bCs/>
          <w:color w:val="auto"/>
          <w:sz w:val="30"/>
          <w:szCs w:val="30"/>
          <w:lang w:val="es-AR"/>
        </w:rPr>
        <w:t xml:space="preserve">3. Método: de la rama </w:t>
      </w:r>
      <w:proofErr w:type="spellStart"/>
      <w:r w:rsidRPr="006371E6">
        <w:rPr>
          <w:rFonts w:ascii="Calibri" w:eastAsia="Calibri" w:hAnsi="Calibri" w:cs="Calibri"/>
          <w:b/>
          <w:bCs/>
          <w:color w:val="auto"/>
          <w:sz w:val="30"/>
          <w:szCs w:val="30"/>
          <w:lang w:val="es-AR"/>
        </w:rPr>
        <w:t>CIIU</w:t>
      </w:r>
      <w:proofErr w:type="spellEnd"/>
      <w:r w:rsidRPr="006371E6">
        <w:rPr>
          <w:rFonts w:ascii="Calibri" w:eastAsia="Calibri" w:hAnsi="Calibri" w:cs="Calibri"/>
          <w:b/>
          <w:bCs/>
          <w:color w:val="auto"/>
          <w:sz w:val="30"/>
          <w:szCs w:val="30"/>
          <w:lang w:val="es-AR"/>
        </w:rPr>
        <w:t xml:space="preserve"> a los 70 sectores CEPAL</w:t>
      </w:r>
    </w:p>
    <w:p w14:paraId="5ADC016E" w14:textId="77777777" w:rsidR="000F03D3" w:rsidRPr="006371E6" w:rsidRDefault="00000000">
      <w:pPr>
        <w:spacing w:after="160"/>
        <w:jc w:val="both"/>
        <w:rPr>
          <w:lang w:val="es-AR"/>
        </w:rPr>
      </w:pPr>
      <w:r w:rsidRPr="006371E6">
        <w:rPr>
          <w:rFonts w:ascii="Calibri" w:eastAsia="Calibri" w:hAnsi="Calibri" w:cs="Calibri"/>
          <w:sz w:val="22"/>
          <w:szCs w:val="22"/>
          <w:lang w:val="es-AR"/>
        </w:rPr>
        <w:t xml:space="preserve">Cada ocupado se asigna a uno de los 70 sectores del formato regional CEPAL mediante una concordancia desde la </w:t>
      </w:r>
      <w:proofErr w:type="spellStart"/>
      <w:r w:rsidRPr="006371E6">
        <w:rPr>
          <w:rFonts w:ascii="Calibri" w:eastAsia="Calibri" w:hAnsi="Calibri" w:cs="Calibri"/>
          <w:sz w:val="22"/>
          <w:szCs w:val="22"/>
          <w:lang w:val="es-AR"/>
        </w:rPr>
        <w:t>CIIU</w:t>
      </w:r>
      <w:proofErr w:type="spellEnd"/>
      <w:r w:rsidRPr="006371E6">
        <w:rPr>
          <w:rFonts w:ascii="Calibri" w:eastAsia="Calibri" w:hAnsi="Calibri" w:cs="Calibri"/>
          <w:sz w:val="22"/>
          <w:szCs w:val="22"/>
          <w:lang w:val="es-AR"/>
        </w:rPr>
        <w:t xml:space="preserve"> </w:t>
      </w:r>
      <w:proofErr w:type="spellStart"/>
      <w:r w:rsidRPr="006371E6">
        <w:rPr>
          <w:rFonts w:ascii="Calibri" w:eastAsia="Calibri" w:hAnsi="Calibri" w:cs="Calibri"/>
          <w:sz w:val="22"/>
          <w:szCs w:val="22"/>
          <w:lang w:val="es-AR"/>
        </w:rPr>
        <w:t>rev.</w:t>
      </w:r>
      <w:proofErr w:type="spellEnd"/>
      <w:r w:rsidRPr="006371E6">
        <w:rPr>
          <w:rFonts w:ascii="Calibri" w:eastAsia="Calibri" w:hAnsi="Calibri" w:cs="Calibri"/>
          <w:sz w:val="22"/>
          <w:szCs w:val="22"/>
          <w:lang w:val="es-AR"/>
        </w:rPr>
        <w:t xml:space="preserve"> 4. La mayoría de las divisiones mapean uno a uno; las reglas finas operan a cuatro dígitos donde una división se reparte entre sectores: dentro de alimentos, la molinería y la panadería (1061-1071) van a s11, el azúcar y la confitería (1072-1073) a s12 y el resto a s13; dentro de la electrónica, la informática (2620) va a s32, los equipos de comunicaciones (2610, 2630, 2640) a s33 y los instrumentos a s34; los metales básicos (división 24) se mantienen agregados en s28; y el equipo de transporte se separa entre aeronaves (3030), embarcaciones (3011-3012) y el resto.</w:t>
      </w:r>
    </w:p>
    <w:p w14:paraId="548BD5E2" w14:textId="2CE27E25" w:rsidR="000F03D3" w:rsidRPr="006371E6" w:rsidRDefault="00000000">
      <w:pPr>
        <w:spacing w:after="160"/>
        <w:jc w:val="both"/>
        <w:rPr>
          <w:lang w:val="es-AR"/>
        </w:rPr>
      </w:pPr>
      <w:r w:rsidRPr="006371E6">
        <w:rPr>
          <w:rFonts w:ascii="Calibri" w:eastAsia="Calibri" w:hAnsi="Calibri" w:cs="Calibri"/>
          <w:sz w:val="22"/>
          <w:szCs w:val="22"/>
          <w:lang w:val="es-AR"/>
        </w:rPr>
        <w:t>La concordancia se validó por réplica: aplicada a las bases 2022, 2023 y 2024 reproduce exactamente los vectores sectoriales publicados, y aplicada a 2018, 2019 y 2021 reproduce los totales anuales (1.635.780, 1.627.990 y 1.620.789 ocupados).</w:t>
      </w:r>
      <w:r w:rsidR="006371E6">
        <w:rPr>
          <w:rFonts w:ascii="Calibri" w:eastAsia="Calibri" w:hAnsi="Calibri" w:cs="Calibri"/>
          <w:sz w:val="22"/>
          <w:szCs w:val="22"/>
          <w:lang w:val="es-AR"/>
        </w:rPr>
        <w:t xml:space="preserve"> Cabe notar que e</w:t>
      </w:r>
      <w:r w:rsidRPr="006371E6">
        <w:rPr>
          <w:rFonts w:ascii="Calibri" w:eastAsia="Calibri" w:hAnsi="Calibri" w:cs="Calibri"/>
          <w:sz w:val="22"/>
          <w:szCs w:val="22"/>
          <w:lang w:val="es-AR"/>
        </w:rPr>
        <w:t>l año 2021 trae un quiebre metodológico de la propia ECH (cambio de marco muestral y de modalidad). Algunos sectores medianos muestran saltos de nivel ese año —madera (+61%), suministro eléctrico (+49%), informática (+43%)</w:t>
      </w:r>
      <w:r w:rsidR="006371E6">
        <w:rPr>
          <w:rFonts w:ascii="Calibri" w:eastAsia="Calibri" w:hAnsi="Calibri" w:cs="Calibri"/>
          <w:sz w:val="22"/>
          <w:szCs w:val="22"/>
          <w:lang w:val="es-AR"/>
        </w:rPr>
        <w:t xml:space="preserve">, los cuales </w:t>
      </w:r>
      <w:r w:rsidRPr="006371E6">
        <w:rPr>
          <w:rFonts w:ascii="Calibri" w:eastAsia="Calibri" w:hAnsi="Calibri" w:cs="Calibri"/>
          <w:sz w:val="22"/>
          <w:szCs w:val="22"/>
          <w:lang w:val="es-AR"/>
        </w:rPr>
        <w:t>deben leerse como efecto del rediseño muestral y no como fenómenos económicos.</w:t>
      </w:r>
    </w:p>
    <w:p w14:paraId="13991340" w14:textId="77777777" w:rsidR="000F03D3" w:rsidRPr="006371E6" w:rsidRDefault="00000000">
      <w:pPr>
        <w:pStyle w:val="Ttulo1"/>
        <w:spacing w:before="320" w:after="120"/>
        <w:rPr>
          <w:color w:val="auto"/>
          <w:lang w:val="es-AR"/>
        </w:rPr>
      </w:pPr>
      <w:r w:rsidRPr="006371E6">
        <w:rPr>
          <w:rFonts w:ascii="Calibri" w:eastAsia="Calibri" w:hAnsi="Calibri" w:cs="Calibri"/>
          <w:b/>
          <w:bCs/>
          <w:color w:val="auto"/>
          <w:sz w:val="30"/>
          <w:szCs w:val="30"/>
          <w:lang w:val="es-AR"/>
        </w:rPr>
        <w:t>4. El caso 2020: qué es dato y qué es estimación</w:t>
      </w:r>
    </w:p>
    <w:p w14:paraId="7284310C" w14:textId="2BD30F53" w:rsidR="000F03D3" w:rsidRPr="006371E6" w:rsidRDefault="00000000">
      <w:pPr>
        <w:spacing w:after="160"/>
        <w:jc w:val="both"/>
        <w:rPr>
          <w:lang w:val="es-AR"/>
        </w:rPr>
      </w:pPr>
      <w:r w:rsidRPr="006371E6">
        <w:rPr>
          <w:rFonts w:ascii="Calibri" w:eastAsia="Calibri" w:hAnsi="Calibri" w:cs="Calibri"/>
          <w:sz w:val="22"/>
          <w:szCs w:val="22"/>
          <w:lang w:val="es-AR"/>
        </w:rPr>
        <w:t xml:space="preserve">La base pública de la encuesta telefónica de 2020 no incluye la rama de actividad: el INE la excluyó del archivo para terceros. Eso obliga a un tratamiento híbrido que conviene dejar explícito. Son dato real de la ECH el total de ocupados (1.567.688, una caída de 3,7% </w:t>
      </w:r>
      <w:r w:rsidR="006371E6">
        <w:rPr>
          <w:rFonts w:ascii="Calibri" w:eastAsia="Calibri" w:hAnsi="Calibri" w:cs="Calibri"/>
          <w:sz w:val="22"/>
          <w:szCs w:val="22"/>
          <w:lang w:val="es-AR"/>
        </w:rPr>
        <w:t xml:space="preserve">o </w:t>
      </w:r>
      <w:r w:rsidRPr="006371E6">
        <w:rPr>
          <w:rFonts w:ascii="Calibri" w:eastAsia="Calibri" w:hAnsi="Calibri" w:cs="Calibri"/>
          <w:sz w:val="22"/>
          <w:szCs w:val="22"/>
          <w:lang w:val="es-AR"/>
        </w:rPr>
        <w:t>60 mil puestos</w:t>
      </w:r>
      <w:r w:rsidR="006371E6">
        <w:rPr>
          <w:rFonts w:ascii="Calibri" w:eastAsia="Calibri" w:hAnsi="Calibri" w:cs="Calibri"/>
          <w:sz w:val="22"/>
          <w:szCs w:val="22"/>
          <w:lang w:val="es-AR"/>
        </w:rPr>
        <w:t>,</w:t>
      </w:r>
      <w:r w:rsidRPr="006371E6">
        <w:rPr>
          <w:rFonts w:ascii="Calibri" w:eastAsia="Calibri" w:hAnsi="Calibri" w:cs="Calibri"/>
          <w:sz w:val="22"/>
          <w:szCs w:val="22"/>
          <w:lang w:val="es-AR"/>
        </w:rPr>
        <w:t xml:space="preserve"> frente a 2019, con mínimo en abril de 2020), la participación femenina (45,3%) y la tasa de informalidad (22,2%). Es estimada, en cambio, la apertura por sector: se interpolan las participaciones sectoriales de 2019 y </w:t>
      </w:r>
      <w:r w:rsidRPr="006371E6">
        <w:rPr>
          <w:rFonts w:ascii="Calibri" w:eastAsia="Calibri" w:hAnsi="Calibri" w:cs="Calibri"/>
          <w:sz w:val="22"/>
          <w:szCs w:val="22"/>
          <w:lang w:val="es-AR"/>
        </w:rPr>
        <w:lastRenderedPageBreak/>
        <w:t>2021</w:t>
      </w:r>
      <w:r w:rsidR="006371E6">
        <w:rPr>
          <w:rFonts w:ascii="Calibri" w:eastAsia="Calibri" w:hAnsi="Calibri" w:cs="Calibri"/>
          <w:sz w:val="22"/>
          <w:szCs w:val="22"/>
          <w:lang w:val="es-AR"/>
        </w:rPr>
        <w:t xml:space="preserve">, </w:t>
      </w:r>
      <w:r w:rsidRPr="006371E6">
        <w:rPr>
          <w:rFonts w:ascii="Calibri" w:eastAsia="Calibri" w:hAnsi="Calibri" w:cs="Calibri"/>
          <w:sz w:val="22"/>
          <w:szCs w:val="22"/>
          <w:lang w:val="es-AR"/>
        </w:rPr>
        <w:t>ambas de microdato</w:t>
      </w:r>
      <w:r w:rsidR="006371E6">
        <w:rPr>
          <w:rFonts w:ascii="Calibri" w:eastAsia="Calibri" w:hAnsi="Calibri" w:cs="Calibri"/>
          <w:sz w:val="22"/>
          <w:szCs w:val="22"/>
          <w:lang w:val="es-AR"/>
        </w:rPr>
        <w:t>,</w:t>
      </w:r>
      <w:r w:rsidRPr="006371E6">
        <w:rPr>
          <w:rFonts w:ascii="Calibri" w:eastAsia="Calibri" w:hAnsi="Calibri" w:cs="Calibri"/>
          <w:sz w:val="22"/>
          <w:szCs w:val="22"/>
          <w:lang w:val="es-AR"/>
        </w:rPr>
        <w:t xml:space="preserve"> y se anclan al total real. Las tasas de género e informalidad por sector de 2020 se interpolan igual y se calibran a los agregados reales. La caída medida es consistente con las cifras oficiales (la tasa de empleo bajó de 56,7% a 54,3%) y con la evidencia de que la pandemia destruyó proporcionalmente más empleo informal, lo que explica el descenso transitorio de la tasa de informalidad en 2020-2021.</w:t>
      </w:r>
    </w:p>
    <w:p w14:paraId="545A9F68" w14:textId="77777777" w:rsidR="000F03D3" w:rsidRPr="006371E6" w:rsidRDefault="00000000">
      <w:pPr>
        <w:pStyle w:val="Ttulo1"/>
        <w:spacing w:before="320" w:after="120"/>
        <w:rPr>
          <w:color w:val="auto"/>
          <w:lang w:val="es-AR"/>
        </w:rPr>
      </w:pPr>
      <w:r w:rsidRPr="006371E6">
        <w:rPr>
          <w:rFonts w:ascii="Calibri" w:eastAsia="Calibri" w:hAnsi="Calibri" w:cs="Calibri"/>
          <w:b/>
          <w:bCs/>
          <w:color w:val="auto"/>
          <w:sz w:val="30"/>
          <w:szCs w:val="30"/>
          <w:lang w:val="es-AR"/>
        </w:rPr>
        <w:t>5. Qué datos quedan disponibles</w:t>
      </w:r>
    </w:p>
    <w:p w14:paraId="33A230F9" w14:textId="3A53C450" w:rsidR="000F03D3" w:rsidRPr="006371E6" w:rsidRDefault="00000000">
      <w:pPr>
        <w:spacing w:after="160"/>
        <w:jc w:val="both"/>
        <w:rPr>
          <w:rFonts w:ascii="Calibri" w:eastAsia="Calibri" w:hAnsi="Calibri" w:cs="Calibri"/>
          <w:sz w:val="22"/>
          <w:szCs w:val="22"/>
          <w:lang w:val="es-AR"/>
        </w:rPr>
      </w:pPr>
      <w:r w:rsidRPr="006371E6">
        <w:rPr>
          <w:rFonts w:ascii="Calibri" w:eastAsia="Calibri" w:hAnsi="Calibri" w:cs="Calibri"/>
          <w:sz w:val="22"/>
          <w:szCs w:val="22"/>
          <w:lang w:val="es-AR"/>
        </w:rPr>
        <w:t xml:space="preserve">El bloque de empleo de la entrega se compone de cinco libros. Evoluciones_MIP_2016_2024 contiene la serie de ocupados por los 70 sectores (2018-2024) y el cuadro macro anual (PIB, ocupados, informalidad, participación femenina). Empleo_genero_2018_2024 trae la participación femenina por sector y año. Empleo_informalidad_2018_2024, la tasa de no aporte jubilatorio por sector y año. Empleo_exportaciones_2018_2024, el empleo directo e indirecto sostenido por las exportaciones, por sector y año, con su composición por género e informalidad. Y Multiplicadores_empleo_70sectores_2018_2024, recalculado sobre la </w:t>
      </w:r>
      <w:proofErr w:type="spellStart"/>
      <w:r w:rsidRPr="006371E6">
        <w:rPr>
          <w:rFonts w:ascii="Calibri" w:eastAsia="Calibri" w:hAnsi="Calibri" w:cs="Calibri"/>
          <w:sz w:val="22"/>
          <w:szCs w:val="22"/>
          <w:lang w:val="es-AR"/>
        </w:rPr>
        <w:t>MIP</w:t>
      </w:r>
      <w:proofErr w:type="spellEnd"/>
      <w:r w:rsidRPr="006371E6">
        <w:rPr>
          <w:rFonts w:ascii="Calibri" w:eastAsia="Calibri" w:hAnsi="Calibri" w:cs="Calibri"/>
          <w:sz w:val="22"/>
          <w:szCs w:val="22"/>
          <w:lang w:val="es-AR"/>
        </w:rPr>
        <w:t xml:space="preserve"> en dólares corrientes y la serie corregida, con el empleo directo por millón de USD, el empleo total (directo más indirecto) por millón de USD de demanda final y el multiplicador tipo I.</w:t>
      </w:r>
    </w:p>
    <w:p w14:paraId="703D9247" w14:textId="77777777" w:rsidR="000F03D3" w:rsidRPr="006371E6" w:rsidRDefault="00000000">
      <w:pPr>
        <w:pStyle w:val="Ttulo1"/>
        <w:spacing w:before="320" w:after="120"/>
        <w:rPr>
          <w:color w:val="auto"/>
          <w:lang w:val="es-AR"/>
        </w:rPr>
      </w:pPr>
      <w:r w:rsidRPr="006371E6">
        <w:rPr>
          <w:rFonts w:ascii="Calibri" w:eastAsia="Calibri" w:hAnsi="Calibri" w:cs="Calibri"/>
          <w:b/>
          <w:bCs/>
          <w:color w:val="auto"/>
          <w:sz w:val="30"/>
          <w:szCs w:val="30"/>
          <w:lang w:val="es-AR"/>
        </w:rPr>
        <w:t>6. Qué nos dice el empleo</w:t>
      </w:r>
    </w:p>
    <w:p w14:paraId="0521951F" w14:textId="77777777" w:rsidR="000F03D3" w:rsidRPr="006371E6" w:rsidRDefault="00000000">
      <w:pPr>
        <w:pStyle w:val="Ttulo2"/>
        <w:spacing w:before="220" w:after="90"/>
        <w:rPr>
          <w:color w:val="auto"/>
          <w:lang w:val="es-AR"/>
        </w:rPr>
      </w:pPr>
      <w:r w:rsidRPr="006371E6">
        <w:rPr>
          <w:rFonts w:ascii="Calibri" w:eastAsia="Calibri" w:hAnsi="Calibri" w:cs="Calibri"/>
          <w:b/>
          <w:bCs/>
          <w:color w:val="auto"/>
          <w:sz w:val="25"/>
          <w:szCs w:val="25"/>
          <w:lang w:val="es-AR"/>
        </w:rPr>
        <w:t>6.1 Nivel y evolución: estabilidad, pandemia y récord</w:t>
      </w:r>
    </w:p>
    <w:p w14:paraId="74628C51" w14:textId="77777777" w:rsidR="000F03D3" w:rsidRPr="006371E6" w:rsidRDefault="00000000">
      <w:pPr>
        <w:spacing w:after="160"/>
        <w:jc w:val="both"/>
        <w:rPr>
          <w:lang w:val="es-AR"/>
        </w:rPr>
      </w:pPr>
      <w:r w:rsidRPr="006371E6">
        <w:rPr>
          <w:rFonts w:ascii="Calibri" w:eastAsia="Calibri" w:hAnsi="Calibri" w:cs="Calibri"/>
          <w:sz w:val="22"/>
          <w:szCs w:val="22"/>
          <w:lang w:val="es-AR"/>
        </w:rPr>
        <w:t xml:space="preserve">Uruguay ocupa entre 1,57 y 1,67 millones de personas en el período. La serie muestra tres fases: estabilidad en 2018-2019 (en torno a 1,63 millones), el golpe de la pandemia en 2020 (−3,7%, con la ocupación recuperándose mes a mes desde mayo), y una recuperación que ya en 2022 superó el nivel </w:t>
      </w:r>
      <w:proofErr w:type="spellStart"/>
      <w:r w:rsidRPr="006371E6">
        <w:rPr>
          <w:rFonts w:ascii="Calibri" w:eastAsia="Calibri" w:hAnsi="Calibri" w:cs="Calibri"/>
          <w:sz w:val="22"/>
          <w:szCs w:val="22"/>
          <w:lang w:val="es-AR"/>
        </w:rPr>
        <w:t>pre-pandemia</w:t>
      </w:r>
      <w:proofErr w:type="spellEnd"/>
      <w:r w:rsidRPr="006371E6">
        <w:rPr>
          <w:rFonts w:ascii="Calibri" w:eastAsia="Calibri" w:hAnsi="Calibri" w:cs="Calibri"/>
          <w:sz w:val="22"/>
          <w:szCs w:val="22"/>
          <w:lang w:val="es-AR"/>
        </w:rPr>
        <w:t xml:space="preserve"> y llevó el empleo a un máximo de 1.667.699 ocupados en 2024.</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80"/>
        <w:gridCol w:w="980"/>
        <w:gridCol w:w="980"/>
        <w:gridCol w:w="980"/>
        <w:gridCol w:w="980"/>
        <w:gridCol w:w="980"/>
        <w:gridCol w:w="980"/>
      </w:tblGrid>
      <w:tr w:rsidR="000F03D3" w:rsidRPr="006371E6" w14:paraId="72094513" w14:textId="77777777" w:rsidTr="006371E6">
        <w:tc>
          <w:tcPr>
            <w:tcW w:w="2600" w:type="dxa"/>
            <w:tcBorders>
              <w:top w:val="single" w:sz="4" w:space="0" w:color="BFBFBF"/>
              <w:left w:val="single" w:sz="4" w:space="0" w:color="BFBFBF"/>
              <w:bottom w:val="single" w:sz="4" w:space="0" w:color="BFBFBF"/>
              <w:right w:val="single" w:sz="4" w:space="0" w:color="BFBFBF"/>
            </w:tcBorders>
          </w:tcPr>
          <w:p w14:paraId="03ADF943" w14:textId="77777777" w:rsidR="000F03D3" w:rsidRPr="006371E6" w:rsidRDefault="00000000">
            <w:pPr>
              <w:spacing w:before="20" w:after="20"/>
              <w:jc w:val="center"/>
            </w:pPr>
            <w:r w:rsidRPr="006371E6">
              <w:rPr>
                <w:rFonts w:ascii="Calibri" w:eastAsia="Calibri" w:hAnsi="Calibri" w:cs="Calibri"/>
                <w:b/>
                <w:bCs/>
                <w:sz w:val="19"/>
                <w:szCs w:val="19"/>
              </w:rPr>
              <w:t>Año</w:t>
            </w:r>
          </w:p>
        </w:tc>
        <w:tc>
          <w:tcPr>
            <w:tcW w:w="980" w:type="dxa"/>
            <w:tcBorders>
              <w:top w:val="single" w:sz="4" w:space="0" w:color="BFBFBF"/>
              <w:left w:val="single" w:sz="4" w:space="0" w:color="BFBFBF"/>
              <w:bottom w:val="single" w:sz="4" w:space="0" w:color="BFBFBF"/>
              <w:right w:val="single" w:sz="4" w:space="0" w:color="BFBFBF"/>
            </w:tcBorders>
          </w:tcPr>
          <w:p w14:paraId="4440404E" w14:textId="77777777" w:rsidR="000F03D3" w:rsidRPr="006371E6" w:rsidRDefault="00000000">
            <w:pPr>
              <w:spacing w:before="20" w:after="20"/>
              <w:jc w:val="center"/>
            </w:pPr>
            <w:r w:rsidRPr="006371E6">
              <w:rPr>
                <w:rFonts w:ascii="Calibri" w:eastAsia="Calibri" w:hAnsi="Calibri" w:cs="Calibri"/>
                <w:b/>
                <w:bCs/>
                <w:sz w:val="19"/>
                <w:szCs w:val="19"/>
              </w:rPr>
              <w:t>2018</w:t>
            </w:r>
          </w:p>
        </w:tc>
        <w:tc>
          <w:tcPr>
            <w:tcW w:w="980" w:type="dxa"/>
            <w:tcBorders>
              <w:top w:val="single" w:sz="4" w:space="0" w:color="BFBFBF"/>
              <w:left w:val="single" w:sz="4" w:space="0" w:color="BFBFBF"/>
              <w:bottom w:val="single" w:sz="4" w:space="0" w:color="BFBFBF"/>
              <w:right w:val="single" w:sz="4" w:space="0" w:color="BFBFBF"/>
            </w:tcBorders>
          </w:tcPr>
          <w:p w14:paraId="6FEFB651" w14:textId="77777777" w:rsidR="000F03D3" w:rsidRPr="006371E6" w:rsidRDefault="00000000">
            <w:pPr>
              <w:spacing w:before="20" w:after="20"/>
              <w:jc w:val="center"/>
            </w:pPr>
            <w:r w:rsidRPr="006371E6">
              <w:rPr>
                <w:rFonts w:ascii="Calibri" w:eastAsia="Calibri" w:hAnsi="Calibri" w:cs="Calibri"/>
                <w:b/>
                <w:bCs/>
                <w:sz w:val="19"/>
                <w:szCs w:val="19"/>
              </w:rPr>
              <w:t>2019</w:t>
            </w:r>
          </w:p>
        </w:tc>
        <w:tc>
          <w:tcPr>
            <w:tcW w:w="980" w:type="dxa"/>
            <w:tcBorders>
              <w:top w:val="single" w:sz="4" w:space="0" w:color="BFBFBF"/>
              <w:left w:val="single" w:sz="4" w:space="0" w:color="BFBFBF"/>
              <w:bottom w:val="single" w:sz="4" w:space="0" w:color="BFBFBF"/>
              <w:right w:val="single" w:sz="4" w:space="0" w:color="BFBFBF"/>
            </w:tcBorders>
          </w:tcPr>
          <w:p w14:paraId="5A32344A" w14:textId="77777777" w:rsidR="000F03D3" w:rsidRPr="006371E6" w:rsidRDefault="00000000">
            <w:pPr>
              <w:spacing w:before="20" w:after="20"/>
              <w:jc w:val="center"/>
            </w:pPr>
            <w:r w:rsidRPr="006371E6">
              <w:rPr>
                <w:rFonts w:ascii="Calibri" w:eastAsia="Calibri" w:hAnsi="Calibri" w:cs="Calibri"/>
                <w:b/>
                <w:bCs/>
                <w:sz w:val="19"/>
                <w:szCs w:val="19"/>
              </w:rPr>
              <w:t>2020</w:t>
            </w:r>
          </w:p>
        </w:tc>
        <w:tc>
          <w:tcPr>
            <w:tcW w:w="980" w:type="dxa"/>
            <w:tcBorders>
              <w:top w:val="single" w:sz="4" w:space="0" w:color="BFBFBF"/>
              <w:left w:val="single" w:sz="4" w:space="0" w:color="BFBFBF"/>
              <w:bottom w:val="single" w:sz="4" w:space="0" w:color="BFBFBF"/>
              <w:right w:val="single" w:sz="4" w:space="0" w:color="BFBFBF"/>
            </w:tcBorders>
          </w:tcPr>
          <w:p w14:paraId="530CE641" w14:textId="77777777" w:rsidR="000F03D3" w:rsidRPr="006371E6" w:rsidRDefault="00000000">
            <w:pPr>
              <w:spacing w:before="20" w:after="20"/>
              <w:jc w:val="center"/>
            </w:pPr>
            <w:r w:rsidRPr="006371E6">
              <w:rPr>
                <w:rFonts w:ascii="Calibri" w:eastAsia="Calibri" w:hAnsi="Calibri" w:cs="Calibri"/>
                <w:b/>
                <w:bCs/>
                <w:sz w:val="19"/>
                <w:szCs w:val="19"/>
              </w:rPr>
              <w:t>2021</w:t>
            </w:r>
          </w:p>
        </w:tc>
        <w:tc>
          <w:tcPr>
            <w:tcW w:w="980" w:type="dxa"/>
            <w:tcBorders>
              <w:top w:val="single" w:sz="4" w:space="0" w:color="BFBFBF"/>
              <w:left w:val="single" w:sz="4" w:space="0" w:color="BFBFBF"/>
              <w:bottom w:val="single" w:sz="4" w:space="0" w:color="BFBFBF"/>
              <w:right w:val="single" w:sz="4" w:space="0" w:color="BFBFBF"/>
            </w:tcBorders>
          </w:tcPr>
          <w:p w14:paraId="30EA309E" w14:textId="77777777" w:rsidR="000F03D3" w:rsidRPr="006371E6" w:rsidRDefault="00000000">
            <w:pPr>
              <w:spacing w:before="20" w:after="20"/>
              <w:jc w:val="center"/>
            </w:pPr>
            <w:r w:rsidRPr="006371E6">
              <w:rPr>
                <w:rFonts w:ascii="Calibri" w:eastAsia="Calibri" w:hAnsi="Calibri" w:cs="Calibri"/>
                <w:b/>
                <w:bCs/>
                <w:sz w:val="19"/>
                <w:szCs w:val="19"/>
              </w:rPr>
              <w:t>2022</w:t>
            </w:r>
          </w:p>
        </w:tc>
        <w:tc>
          <w:tcPr>
            <w:tcW w:w="980" w:type="dxa"/>
            <w:tcBorders>
              <w:top w:val="single" w:sz="4" w:space="0" w:color="BFBFBF"/>
              <w:left w:val="single" w:sz="4" w:space="0" w:color="BFBFBF"/>
              <w:bottom w:val="single" w:sz="4" w:space="0" w:color="BFBFBF"/>
              <w:right w:val="single" w:sz="4" w:space="0" w:color="BFBFBF"/>
            </w:tcBorders>
          </w:tcPr>
          <w:p w14:paraId="2357F18C" w14:textId="77777777" w:rsidR="000F03D3" w:rsidRPr="006371E6" w:rsidRDefault="00000000">
            <w:pPr>
              <w:spacing w:before="20" w:after="20"/>
              <w:jc w:val="center"/>
            </w:pPr>
            <w:r w:rsidRPr="006371E6">
              <w:rPr>
                <w:rFonts w:ascii="Calibri" w:eastAsia="Calibri" w:hAnsi="Calibri" w:cs="Calibri"/>
                <w:b/>
                <w:bCs/>
                <w:sz w:val="19"/>
                <w:szCs w:val="19"/>
              </w:rPr>
              <w:t>2023</w:t>
            </w:r>
          </w:p>
        </w:tc>
        <w:tc>
          <w:tcPr>
            <w:tcW w:w="980" w:type="dxa"/>
            <w:tcBorders>
              <w:top w:val="single" w:sz="4" w:space="0" w:color="BFBFBF"/>
              <w:left w:val="single" w:sz="4" w:space="0" w:color="BFBFBF"/>
              <w:bottom w:val="single" w:sz="4" w:space="0" w:color="BFBFBF"/>
              <w:right w:val="single" w:sz="4" w:space="0" w:color="BFBFBF"/>
            </w:tcBorders>
          </w:tcPr>
          <w:p w14:paraId="7FDA3AA8" w14:textId="77777777" w:rsidR="000F03D3" w:rsidRPr="006371E6" w:rsidRDefault="00000000">
            <w:pPr>
              <w:spacing w:before="20" w:after="20"/>
              <w:jc w:val="center"/>
            </w:pPr>
            <w:r w:rsidRPr="006371E6">
              <w:rPr>
                <w:rFonts w:ascii="Calibri" w:eastAsia="Calibri" w:hAnsi="Calibri" w:cs="Calibri"/>
                <w:b/>
                <w:bCs/>
                <w:sz w:val="19"/>
                <w:szCs w:val="19"/>
              </w:rPr>
              <w:t>2024</w:t>
            </w:r>
          </w:p>
        </w:tc>
      </w:tr>
      <w:tr w:rsidR="000F03D3" w:rsidRPr="006371E6" w14:paraId="2B26B4DA" w14:textId="77777777" w:rsidTr="006371E6">
        <w:tc>
          <w:tcPr>
            <w:tcW w:w="2600" w:type="dxa"/>
            <w:tcBorders>
              <w:top w:val="single" w:sz="4" w:space="0" w:color="BFBFBF"/>
              <w:left w:val="single" w:sz="4" w:space="0" w:color="BFBFBF"/>
              <w:bottom w:val="single" w:sz="4" w:space="0" w:color="BFBFBF"/>
              <w:right w:val="single" w:sz="4" w:space="0" w:color="BFBFBF"/>
            </w:tcBorders>
          </w:tcPr>
          <w:p w14:paraId="68ABE874" w14:textId="77777777" w:rsidR="000F03D3" w:rsidRPr="006371E6" w:rsidRDefault="00000000">
            <w:pPr>
              <w:spacing w:before="20" w:after="20"/>
            </w:pPr>
            <w:proofErr w:type="spellStart"/>
            <w:r w:rsidRPr="006371E6">
              <w:rPr>
                <w:rFonts w:ascii="Calibri" w:eastAsia="Calibri" w:hAnsi="Calibri" w:cs="Calibri"/>
                <w:sz w:val="19"/>
                <w:szCs w:val="19"/>
              </w:rPr>
              <w:t>Ocupados</w:t>
            </w:r>
            <w:proofErr w:type="spellEnd"/>
            <w:r w:rsidRPr="006371E6">
              <w:rPr>
                <w:rFonts w:ascii="Calibri" w:eastAsia="Calibri" w:hAnsi="Calibri" w:cs="Calibri"/>
                <w:sz w:val="19"/>
                <w:szCs w:val="19"/>
              </w:rPr>
              <w:t xml:space="preserve"> (miles)</w:t>
            </w:r>
          </w:p>
        </w:tc>
        <w:tc>
          <w:tcPr>
            <w:tcW w:w="980" w:type="dxa"/>
            <w:tcBorders>
              <w:top w:val="single" w:sz="4" w:space="0" w:color="BFBFBF"/>
              <w:left w:val="single" w:sz="4" w:space="0" w:color="BFBFBF"/>
              <w:bottom w:val="single" w:sz="4" w:space="0" w:color="BFBFBF"/>
              <w:right w:val="single" w:sz="4" w:space="0" w:color="BFBFBF"/>
            </w:tcBorders>
          </w:tcPr>
          <w:p w14:paraId="2601A267" w14:textId="77777777" w:rsidR="000F03D3" w:rsidRPr="006371E6" w:rsidRDefault="00000000">
            <w:pPr>
              <w:spacing w:before="20" w:after="20"/>
              <w:jc w:val="right"/>
            </w:pPr>
            <w:r w:rsidRPr="006371E6">
              <w:rPr>
                <w:rFonts w:ascii="Calibri" w:eastAsia="Calibri" w:hAnsi="Calibri" w:cs="Calibri"/>
                <w:sz w:val="19"/>
                <w:szCs w:val="19"/>
              </w:rPr>
              <w:t>1.636</w:t>
            </w:r>
          </w:p>
        </w:tc>
        <w:tc>
          <w:tcPr>
            <w:tcW w:w="980" w:type="dxa"/>
            <w:tcBorders>
              <w:top w:val="single" w:sz="4" w:space="0" w:color="BFBFBF"/>
              <w:left w:val="single" w:sz="4" w:space="0" w:color="BFBFBF"/>
              <w:bottom w:val="single" w:sz="4" w:space="0" w:color="BFBFBF"/>
              <w:right w:val="single" w:sz="4" w:space="0" w:color="BFBFBF"/>
            </w:tcBorders>
          </w:tcPr>
          <w:p w14:paraId="27C0115A" w14:textId="77777777" w:rsidR="000F03D3" w:rsidRPr="006371E6" w:rsidRDefault="00000000">
            <w:pPr>
              <w:spacing w:before="20" w:after="20"/>
              <w:jc w:val="right"/>
            </w:pPr>
            <w:r w:rsidRPr="006371E6">
              <w:rPr>
                <w:rFonts w:ascii="Calibri" w:eastAsia="Calibri" w:hAnsi="Calibri" w:cs="Calibri"/>
                <w:sz w:val="19"/>
                <w:szCs w:val="19"/>
              </w:rPr>
              <w:t>1.628</w:t>
            </w:r>
          </w:p>
        </w:tc>
        <w:tc>
          <w:tcPr>
            <w:tcW w:w="980" w:type="dxa"/>
            <w:tcBorders>
              <w:top w:val="single" w:sz="4" w:space="0" w:color="BFBFBF"/>
              <w:left w:val="single" w:sz="4" w:space="0" w:color="BFBFBF"/>
              <w:bottom w:val="single" w:sz="4" w:space="0" w:color="BFBFBF"/>
              <w:right w:val="single" w:sz="4" w:space="0" w:color="BFBFBF"/>
            </w:tcBorders>
          </w:tcPr>
          <w:p w14:paraId="0E666B90" w14:textId="77777777" w:rsidR="000F03D3" w:rsidRPr="006371E6" w:rsidRDefault="00000000">
            <w:pPr>
              <w:spacing w:before="20" w:after="20"/>
              <w:jc w:val="right"/>
            </w:pPr>
            <w:r w:rsidRPr="006371E6">
              <w:rPr>
                <w:rFonts w:ascii="Calibri" w:eastAsia="Calibri" w:hAnsi="Calibri" w:cs="Calibri"/>
                <w:sz w:val="19"/>
                <w:szCs w:val="19"/>
              </w:rPr>
              <w:t>1.568</w:t>
            </w:r>
          </w:p>
        </w:tc>
        <w:tc>
          <w:tcPr>
            <w:tcW w:w="980" w:type="dxa"/>
            <w:tcBorders>
              <w:top w:val="single" w:sz="4" w:space="0" w:color="BFBFBF"/>
              <w:left w:val="single" w:sz="4" w:space="0" w:color="BFBFBF"/>
              <w:bottom w:val="single" w:sz="4" w:space="0" w:color="BFBFBF"/>
              <w:right w:val="single" w:sz="4" w:space="0" w:color="BFBFBF"/>
            </w:tcBorders>
          </w:tcPr>
          <w:p w14:paraId="0A3919D4" w14:textId="77777777" w:rsidR="000F03D3" w:rsidRPr="006371E6" w:rsidRDefault="00000000">
            <w:pPr>
              <w:spacing w:before="20" w:after="20"/>
              <w:jc w:val="right"/>
            </w:pPr>
            <w:r w:rsidRPr="006371E6">
              <w:rPr>
                <w:rFonts w:ascii="Calibri" w:eastAsia="Calibri" w:hAnsi="Calibri" w:cs="Calibri"/>
                <w:sz w:val="19"/>
                <w:szCs w:val="19"/>
              </w:rPr>
              <w:t>1.621</w:t>
            </w:r>
          </w:p>
        </w:tc>
        <w:tc>
          <w:tcPr>
            <w:tcW w:w="980" w:type="dxa"/>
            <w:tcBorders>
              <w:top w:val="single" w:sz="4" w:space="0" w:color="BFBFBF"/>
              <w:left w:val="single" w:sz="4" w:space="0" w:color="BFBFBF"/>
              <w:bottom w:val="single" w:sz="4" w:space="0" w:color="BFBFBF"/>
              <w:right w:val="single" w:sz="4" w:space="0" w:color="BFBFBF"/>
            </w:tcBorders>
          </w:tcPr>
          <w:p w14:paraId="4BA09B6D" w14:textId="77777777" w:rsidR="000F03D3" w:rsidRPr="006371E6" w:rsidRDefault="00000000">
            <w:pPr>
              <w:spacing w:before="20" w:after="20"/>
              <w:jc w:val="right"/>
            </w:pPr>
            <w:r w:rsidRPr="006371E6">
              <w:rPr>
                <w:rFonts w:ascii="Calibri" w:eastAsia="Calibri" w:hAnsi="Calibri" w:cs="Calibri"/>
                <w:sz w:val="19"/>
                <w:szCs w:val="19"/>
              </w:rPr>
              <w:t>1.632</w:t>
            </w:r>
          </w:p>
        </w:tc>
        <w:tc>
          <w:tcPr>
            <w:tcW w:w="980" w:type="dxa"/>
            <w:tcBorders>
              <w:top w:val="single" w:sz="4" w:space="0" w:color="BFBFBF"/>
              <w:left w:val="single" w:sz="4" w:space="0" w:color="BFBFBF"/>
              <w:bottom w:val="single" w:sz="4" w:space="0" w:color="BFBFBF"/>
              <w:right w:val="single" w:sz="4" w:space="0" w:color="BFBFBF"/>
            </w:tcBorders>
          </w:tcPr>
          <w:p w14:paraId="6B779463" w14:textId="77777777" w:rsidR="000F03D3" w:rsidRPr="006371E6" w:rsidRDefault="00000000">
            <w:pPr>
              <w:spacing w:before="20" w:after="20"/>
              <w:jc w:val="right"/>
            </w:pPr>
            <w:r w:rsidRPr="006371E6">
              <w:rPr>
                <w:rFonts w:ascii="Calibri" w:eastAsia="Calibri" w:hAnsi="Calibri" w:cs="Calibri"/>
                <w:sz w:val="19"/>
                <w:szCs w:val="19"/>
              </w:rPr>
              <w:t>1.656</w:t>
            </w:r>
          </w:p>
        </w:tc>
        <w:tc>
          <w:tcPr>
            <w:tcW w:w="980" w:type="dxa"/>
            <w:tcBorders>
              <w:top w:val="single" w:sz="4" w:space="0" w:color="BFBFBF"/>
              <w:left w:val="single" w:sz="4" w:space="0" w:color="BFBFBF"/>
              <w:bottom w:val="single" w:sz="4" w:space="0" w:color="BFBFBF"/>
              <w:right w:val="single" w:sz="4" w:space="0" w:color="BFBFBF"/>
            </w:tcBorders>
          </w:tcPr>
          <w:p w14:paraId="65849A77" w14:textId="77777777" w:rsidR="000F03D3" w:rsidRPr="006371E6" w:rsidRDefault="00000000">
            <w:pPr>
              <w:spacing w:before="20" w:after="20"/>
              <w:jc w:val="right"/>
            </w:pPr>
            <w:r w:rsidRPr="006371E6">
              <w:rPr>
                <w:rFonts w:ascii="Calibri" w:eastAsia="Calibri" w:hAnsi="Calibri" w:cs="Calibri"/>
                <w:sz w:val="19"/>
                <w:szCs w:val="19"/>
              </w:rPr>
              <w:t>1.668</w:t>
            </w:r>
          </w:p>
        </w:tc>
      </w:tr>
      <w:tr w:rsidR="000F03D3" w:rsidRPr="006371E6" w14:paraId="658E87F9" w14:textId="77777777">
        <w:tc>
          <w:tcPr>
            <w:tcW w:w="2600" w:type="dxa"/>
            <w:tcBorders>
              <w:top w:val="single" w:sz="4" w:space="0" w:color="BFBFBF"/>
              <w:left w:val="single" w:sz="4" w:space="0" w:color="BFBFBF"/>
              <w:bottom w:val="single" w:sz="4" w:space="0" w:color="BFBFBF"/>
              <w:right w:val="single" w:sz="4" w:space="0" w:color="BFBFBF"/>
            </w:tcBorders>
          </w:tcPr>
          <w:p w14:paraId="06F4DF13" w14:textId="77777777" w:rsidR="000F03D3" w:rsidRPr="006371E6" w:rsidRDefault="00000000">
            <w:pPr>
              <w:spacing w:before="20" w:after="20"/>
            </w:pPr>
            <w:proofErr w:type="spellStart"/>
            <w:r w:rsidRPr="006371E6">
              <w:rPr>
                <w:rFonts w:ascii="Calibri" w:eastAsia="Calibri" w:hAnsi="Calibri" w:cs="Calibri"/>
                <w:sz w:val="19"/>
                <w:szCs w:val="19"/>
              </w:rPr>
              <w:t>Participación</w:t>
            </w:r>
            <w:proofErr w:type="spellEnd"/>
            <w:r w:rsidRPr="006371E6">
              <w:rPr>
                <w:rFonts w:ascii="Calibri" w:eastAsia="Calibri" w:hAnsi="Calibri" w:cs="Calibri"/>
                <w:sz w:val="19"/>
                <w:szCs w:val="19"/>
              </w:rPr>
              <w:t xml:space="preserve"> </w:t>
            </w:r>
            <w:proofErr w:type="spellStart"/>
            <w:r w:rsidRPr="006371E6">
              <w:rPr>
                <w:rFonts w:ascii="Calibri" w:eastAsia="Calibri" w:hAnsi="Calibri" w:cs="Calibri"/>
                <w:sz w:val="19"/>
                <w:szCs w:val="19"/>
              </w:rPr>
              <w:t>femenina</w:t>
            </w:r>
            <w:proofErr w:type="spellEnd"/>
            <w:r w:rsidRPr="006371E6">
              <w:rPr>
                <w:rFonts w:ascii="Calibri" w:eastAsia="Calibri" w:hAnsi="Calibri" w:cs="Calibri"/>
                <w:sz w:val="19"/>
                <w:szCs w:val="19"/>
              </w:rPr>
              <w:t xml:space="preserve"> (%)</w:t>
            </w:r>
          </w:p>
        </w:tc>
        <w:tc>
          <w:tcPr>
            <w:tcW w:w="980" w:type="dxa"/>
            <w:tcBorders>
              <w:top w:val="single" w:sz="4" w:space="0" w:color="BFBFBF"/>
              <w:left w:val="single" w:sz="4" w:space="0" w:color="BFBFBF"/>
              <w:bottom w:val="single" w:sz="4" w:space="0" w:color="BFBFBF"/>
              <w:right w:val="single" w:sz="4" w:space="0" w:color="BFBFBF"/>
            </w:tcBorders>
          </w:tcPr>
          <w:p w14:paraId="7B1E8123" w14:textId="77777777" w:rsidR="000F03D3" w:rsidRPr="006371E6" w:rsidRDefault="00000000">
            <w:pPr>
              <w:spacing w:before="20" w:after="20"/>
              <w:jc w:val="right"/>
            </w:pPr>
            <w:r w:rsidRPr="006371E6">
              <w:rPr>
                <w:rFonts w:ascii="Calibri" w:eastAsia="Calibri" w:hAnsi="Calibri" w:cs="Calibri"/>
                <w:sz w:val="19"/>
                <w:szCs w:val="19"/>
              </w:rPr>
              <w:t>45,1</w:t>
            </w:r>
          </w:p>
        </w:tc>
        <w:tc>
          <w:tcPr>
            <w:tcW w:w="980" w:type="dxa"/>
            <w:tcBorders>
              <w:top w:val="single" w:sz="4" w:space="0" w:color="BFBFBF"/>
              <w:left w:val="single" w:sz="4" w:space="0" w:color="BFBFBF"/>
              <w:bottom w:val="single" w:sz="4" w:space="0" w:color="BFBFBF"/>
              <w:right w:val="single" w:sz="4" w:space="0" w:color="BFBFBF"/>
            </w:tcBorders>
          </w:tcPr>
          <w:p w14:paraId="5C4D267B" w14:textId="77777777" w:rsidR="000F03D3" w:rsidRPr="006371E6" w:rsidRDefault="00000000">
            <w:pPr>
              <w:spacing w:before="20" w:after="20"/>
              <w:jc w:val="right"/>
            </w:pPr>
            <w:r w:rsidRPr="006371E6">
              <w:rPr>
                <w:rFonts w:ascii="Calibri" w:eastAsia="Calibri" w:hAnsi="Calibri" w:cs="Calibri"/>
                <w:sz w:val="19"/>
                <w:szCs w:val="19"/>
              </w:rPr>
              <w:t>45,2</w:t>
            </w:r>
          </w:p>
        </w:tc>
        <w:tc>
          <w:tcPr>
            <w:tcW w:w="980" w:type="dxa"/>
            <w:tcBorders>
              <w:top w:val="single" w:sz="4" w:space="0" w:color="BFBFBF"/>
              <w:left w:val="single" w:sz="4" w:space="0" w:color="BFBFBF"/>
              <w:bottom w:val="single" w:sz="4" w:space="0" w:color="BFBFBF"/>
              <w:right w:val="single" w:sz="4" w:space="0" w:color="BFBFBF"/>
            </w:tcBorders>
          </w:tcPr>
          <w:p w14:paraId="16CA25D0" w14:textId="77777777" w:rsidR="000F03D3" w:rsidRPr="006371E6" w:rsidRDefault="00000000">
            <w:pPr>
              <w:spacing w:before="20" w:after="20"/>
              <w:jc w:val="right"/>
            </w:pPr>
            <w:r w:rsidRPr="006371E6">
              <w:rPr>
                <w:rFonts w:ascii="Calibri" w:eastAsia="Calibri" w:hAnsi="Calibri" w:cs="Calibri"/>
                <w:sz w:val="19"/>
                <w:szCs w:val="19"/>
              </w:rPr>
              <w:t>45,3</w:t>
            </w:r>
          </w:p>
        </w:tc>
        <w:tc>
          <w:tcPr>
            <w:tcW w:w="980" w:type="dxa"/>
            <w:tcBorders>
              <w:top w:val="single" w:sz="4" w:space="0" w:color="BFBFBF"/>
              <w:left w:val="single" w:sz="4" w:space="0" w:color="BFBFBF"/>
              <w:bottom w:val="single" w:sz="4" w:space="0" w:color="BFBFBF"/>
              <w:right w:val="single" w:sz="4" w:space="0" w:color="BFBFBF"/>
            </w:tcBorders>
          </w:tcPr>
          <w:p w14:paraId="641949F8" w14:textId="77777777" w:rsidR="000F03D3" w:rsidRPr="006371E6" w:rsidRDefault="00000000">
            <w:pPr>
              <w:spacing w:before="20" w:after="20"/>
              <w:jc w:val="right"/>
            </w:pPr>
            <w:r w:rsidRPr="006371E6">
              <w:rPr>
                <w:rFonts w:ascii="Calibri" w:eastAsia="Calibri" w:hAnsi="Calibri" w:cs="Calibri"/>
                <w:sz w:val="19"/>
                <w:szCs w:val="19"/>
              </w:rPr>
              <w:t>45,6</w:t>
            </w:r>
          </w:p>
        </w:tc>
        <w:tc>
          <w:tcPr>
            <w:tcW w:w="980" w:type="dxa"/>
            <w:tcBorders>
              <w:top w:val="single" w:sz="4" w:space="0" w:color="BFBFBF"/>
              <w:left w:val="single" w:sz="4" w:space="0" w:color="BFBFBF"/>
              <w:bottom w:val="single" w:sz="4" w:space="0" w:color="BFBFBF"/>
              <w:right w:val="single" w:sz="4" w:space="0" w:color="BFBFBF"/>
            </w:tcBorders>
          </w:tcPr>
          <w:p w14:paraId="39378BC8" w14:textId="77777777" w:rsidR="000F03D3" w:rsidRPr="006371E6" w:rsidRDefault="00000000">
            <w:pPr>
              <w:spacing w:before="20" w:after="20"/>
              <w:jc w:val="right"/>
            </w:pPr>
            <w:r w:rsidRPr="006371E6">
              <w:rPr>
                <w:rFonts w:ascii="Calibri" w:eastAsia="Calibri" w:hAnsi="Calibri" w:cs="Calibri"/>
                <w:sz w:val="19"/>
                <w:szCs w:val="19"/>
              </w:rPr>
              <w:t>46,0</w:t>
            </w:r>
          </w:p>
        </w:tc>
        <w:tc>
          <w:tcPr>
            <w:tcW w:w="980" w:type="dxa"/>
            <w:tcBorders>
              <w:top w:val="single" w:sz="4" w:space="0" w:color="BFBFBF"/>
              <w:left w:val="single" w:sz="4" w:space="0" w:color="BFBFBF"/>
              <w:bottom w:val="single" w:sz="4" w:space="0" w:color="BFBFBF"/>
              <w:right w:val="single" w:sz="4" w:space="0" w:color="BFBFBF"/>
            </w:tcBorders>
          </w:tcPr>
          <w:p w14:paraId="22FA4595" w14:textId="77777777" w:rsidR="000F03D3" w:rsidRPr="006371E6" w:rsidRDefault="00000000">
            <w:pPr>
              <w:spacing w:before="20" w:after="20"/>
              <w:jc w:val="right"/>
            </w:pPr>
            <w:r w:rsidRPr="006371E6">
              <w:rPr>
                <w:rFonts w:ascii="Calibri" w:eastAsia="Calibri" w:hAnsi="Calibri" w:cs="Calibri"/>
                <w:sz w:val="19"/>
                <w:szCs w:val="19"/>
              </w:rPr>
              <w:t>45,6</w:t>
            </w:r>
          </w:p>
        </w:tc>
        <w:tc>
          <w:tcPr>
            <w:tcW w:w="980" w:type="dxa"/>
            <w:tcBorders>
              <w:top w:val="single" w:sz="4" w:space="0" w:color="BFBFBF"/>
              <w:left w:val="single" w:sz="4" w:space="0" w:color="BFBFBF"/>
              <w:bottom w:val="single" w:sz="4" w:space="0" w:color="BFBFBF"/>
              <w:right w:val="single" w:sz="4" w:space="0" w:color="BFBFBF"/>
            </w:tcBorders>
          </w:tcPr>
          <w:p w14:paraId="764C3B5E" w14:textId="77777777" w:rsidR="000F03D3" w:rsidRPr="006371E6" w:rsidRDefault="00000000">
            <w:pPr>
              <w:spacing w:before="20" w:after="20"/>
              <w:jc w:val="right"/>
            </w:pPr>
            <w:r w:rsidRPr="006371E6">
              <w:rPr>
                <w:rFonts w:ascii="Calibri" w:eastAsia="Calibri" w:hAnsi="Calibri" w:cs="Calibri"/>
                <w:sz w:val="19"/>
                <w:szCs w:val="19"/>
              </w:rPr>
              <w:t>45,7</w:t>
            </w:r>
          </w:p>
        </w:tc>
      </w:tr>
      <w:tr w:rsidR="000F03D3" w:rsidRPr="006371E6" w14:paraId="209475CA" w14:textId="77777777" w:rsidTr="006371E6">
        <w:tc>
          <w:tcPr>
            <w:tcW w:w="2600" w:type="dxa"/>
            <w:tcBorders>
              <w:top w:val="single" w:sz="4" w:space="0" w:color="BFBFBF"/>
              <w:left w:val="single" w:sz="4" w:space="0" w:color="BFBFBF"/>
              <w:bottom w:val="single" w:sz="4" w:space="0" w:color="BFBFBF"/>
              <w:right w:val="single" w:sz="4" w:space="0" w:color="BFBFBF"/>
            </w:tcBorders>
          </w:tcPr>
          <w:p w14:paraId="28033AFE" w14:textId="77777777" w:rsidR="000F03D3" w:rsidRPr="006371E6" w:rsidRDefault="00000000">
            <w:pPr>
              <w:spacing w:before="20" w:after="20"/>
            </w:pPr>
            <w:proofErr w:type="spellStart"/>
            <w:r w:rsidRPr="006371E6">
              <w:rPr>
                <w:rFonts w:ascii="Calibri" w:eastAsia="Calibri" w:hAnsi="Calibri" w:cs="Calibri"/>
                <w:sz w:val="19"/>
                <w:szCs w:val="19"/>
              </w:rPr>
              <w:t>Informalidad</w:t>
            </w:r>
            <w:proofErr w:type="spellEnd"/>
            <w:r w:rsidRPr="006371E6">
              <w:rPr>
                <w:rFonts w:ascii="Calibri" w:eastAsia="Calibri" w:hAnsi="Calibri" w:cs="Calibri"/>
                <w:sz w:val="19"/>
                <w:szCs w:val="19"/>
              </w:rPr>
              <w:t xml:space="preserve"> (%)</w:t>
            </w:r>
          </w:p>
        </w:tc>
        <w:tc>
          <w:tcPr>
            <w:tcW w:w="980" w:type="dxa"/>
            <w:tcBorders>
              <w:top w:val="single" w:sz="4" w:space="0" w:color="BFBFBF"/>
              <w:left w:val="single" w:sz="4" w:space="0" w:color="BFBFBF"/>
              <w:bottom w:val="single" w:sz="4" w:space="0" w:color="BFBFBF"/>
              <w:right w:val="single" w:sz="4" w:space="0" w:color="BFBFBF"/>
            </w:tcBorders>
          </w:tcPr>
          <w:p w14:paraId="1EFAEC74" w14:textId="77777777" w:rsidR="000F03D3" w:rsidRPr="006371E6" w:rsidRDefault="00000000">
            <w:pPr>
              <w:spacing w:before="20" w:after="20"/>
              <w:jc w:val="right"/>
            </w:pPr>
            <w:r w:rsidRPr="006371E6">
              <w:rPr>
                <w:rFonts w:ascii="Calibri" w:eastAsia="Calibri" w:hAnsi="Calibri" w:cs="Calibri"/>
                <w:sz w:val="19"/>
                <w:szCs w:val="19"/>
              </w:rPr>
              <w:t>24,5</w:t>
            </w:r>
          </w:p>
        </w:tc>
        <w:tc>
          <w:tcPr>
            <w:tcW w:w="980" w:type="dxa"/>
            <w:tcBorders>
              <w:top w:val="single" w:sz="4" w:space="0" w:color="BFBFBF"/>
              <w:left w:val="single" w:sz="4" w:space="0" w:color="BFBFBF"/>
              <w:bottom w:val="single" w:sz="4" w:space="0" w:color="BFBFBF"/>
              <w:right w:val="single" w:sz="4" w:space="0" w:color="BFBFBF"/>
            </w:tcBorders>
          </w:tcPr>
          <w:p w14:paraId="1B4DF13D" w14:textId="77777777" w:rsidR="000F03D3" w:rsidRPr="006371E6" w:rsidRDefault="00000000">
            <w:pPr>
              <w:spacing w:before="20" w:after="20"/>
              <w:jc w:val="right"/>
            </w:pPr>
            <w:r w:rsidRPr="006371E6">
              <w:rPr>
                <w:rFonts w:ascii="Calibri" w:eastAsia="Calibri" w:hAnsi="Calibri" w:cs="Calibri"/>
                <w:sz w:val="19"/>
                <w:szCs w:val="19"/>
              </w:rPr>
              <w:t>24,9</w:t>
            </w:r>
          </w:p>
        </w:tc>
        <w:tc>
          <w:tcPr>
            <w:tcW w:w="980" w:type="dxa"/>
            <w:tcBorders>
              <w:top w:val="single" w:sz="4" w:space="0" w:color="BFBFBF"/>
              <w:left w:val="single" w:sz="4" w:space="0" w:color="BFBFBF"/>
              <w:bottom w:val="single" w:sz="4" w:space="0" w:color="BFBFBF"/>
              <w:right w:val="single" w:sz="4" w:space="0" w:color="BFBFBF"/>
            </w:tcBorders>
          </w:tcPr>
          <w:p w14:paraId="182C757F" w14:textId="77777777" w:rsidR="000F03D3" w:rsidRPr="006371E6" w:rsidRDefault="00000000">
            <w:pPr>
              <w:spacing w:before="20" w:after="20"/>
              <w:jc w:val="right"/>
            </w:pPr>
            <w:r w:rsidRPr="006371E6">
              <w:rPr>
                <w:rFonts w:ascii="Calibri" w:eastAsia="Calibri" w:hAnsi="Calibri" w:cs="Calibri"/>
                <w:sz w:val="19"/>
                <w:szCs w:val="19"/>
              </w:rPr>
              <w:t>22,2</w:t>
            </w:r>
          </w:p>
        </w:tc>
        <w:tc>
          <w:tcPr>
            <w:tcW w:w="980" w:type="dxa"/>
            <w:tcBorders>
              <w:top w:val="single" w:sz="4" w:space="0" w:color="BFBFBF"/>
              <w:left w:val="single" w:sz="4" w:space="0" w:color="BFBFBF"/>
              <w:bottom w:val="single" w:sz="4" w:space="0" w:color="BFBFBF"/>
              <w:right w:val="single" w:sz="4" w:space="0" w:color="BFBFBF"/>
            </w:tcBorders>
          </w:tcPr>
          <w:p w14:paraId="7CA455C9" w14:textId="77777777" w:rsidR="000F03D3" w:rsidRPr="006371E6" w:rsidRDefault="00000000">
            <w:pPr>
              <w:spacing w:before="20" w:after="20"/>
              <w:jc w:val="right"/>
            </w:pPr>
            <w:r w:rsidRPr="006371E6">
              <w:rPr>
                <w:rFonts w:ascii="Calibri" w:eastAsia="Calibri" w:hAnsi="Calibri" w:cs="Calibri"/>
                <w:sz w:val="19"/>
                <w:szCs w:val="19"/>
              </w:rPr>
              <w:t>21,7</w:t>
            </w:r>
          </w:p>
        </w:tc>
        <w:tc>
          <w:tcPr>
            <w:tcW w:w="980" w:type="dxa"/>
            <w:tcBorders>
              <w:top w:val="single" w:sz="4" w:space="0" w:color="BFBFBF"/>
              <w:left w:val="single" w:sz="4" w:space="0" w:color="BFBFBF"/>
              <w:bottom w:val="single" w:sz="4" w:space="0" w:color="BFBFBF"/>
              <w:right w:val="single" w:sz="4" w:space="0" w:color="BFBFBF"/>
            </w:tcBorders>
          </w:tcPr>
          <w:p w14:paraId="477BF941" w14:textId="77777777" w:rsidR="000F03D3" w:rsidRPr="006371E6" w:rsidRDefault="00000000">
            <w:pPr>
              <w:spacing w:before="20" w:after="20"/>
              <w:jc w:val="right"/>
            </w:pPr>
            <w:r w:rsidRPr="006371E6">
              <w:rPr>
                <w:rFonts w:ascii="Calibri" w:eastAsia="Calibri" w:hAnsi="Calibri" w:cs="Calibri"/>
                <w:sz w:val="19"/>
                <w:szCs w:val="19"/>
              </w:rPr>
              <w:t>22,8</w:t>
            </w:r>
          </w:p>
        </w:tc>
        <w:tc>
          <w:tcPr>
            <w:tcW w:w="980" w:type="dxa"/>
            <w:tcBorders>
              <w:top w:val="single" w:sz="4" w:space="0" w:color="BFBFBF"/>
              <w:left w:val="single" w:sz="4" w:space="0" w:color="BFBFBF"/>
              <w:bottom w:val="single" w:sz="4" w:space="0" w:color="BFBFBF"/>
              <w:right w:val="single" w:sz="4" w:space="0" w:color="BFBFBF"/>
            </w:tcBorders>
          </w:tcPr>
          <w:p w14:paraId="7A16088E" w14:textId="77777777" w:rsidR="000F03D3" w:rsidRPr="006371E6" w:rsidRDefault="00000000">
            <w:pPr>
              <w:spacing w:before="20" w:after="20"/>
              <w:jc w:val="right"/>
            </w:pPr>
            <w:r w:rsidRPr="006371E6">
              <w:rPr>
                <w:rFonts w:ascii="Calibri" w:eastAsia="Calibri" w:hAnsi="Calibri" w:cs="Calibri"/>
                <w:sz w:val="19"/>
                <w:szCs w:val="19"/>
              </w:rPr>
              <w:t>23,7</w:t>
            </w:r>
          </w:p>
        </w:tc>
        <w:tc>
          <w:tcPr>
            <w:tcW w:w="980" w:type="dxa"/>
            <w:tcBorders>
              <w:top w:val="single" w:sz="4" w:space="0" w:color="BFBFBF"/>
              <w:left w:val="single" w:sz="4" w:space="0" w:color="BFBFBF"/>
              <w:bottom w:val="single" w:sz="4" w:space="0" w:color="BFBFBF"/>
              <w:right w:val="single" w:sz="4" w:space="0" w:color="BFBFBF"/>
            </w:tcBorders>
          </w:tcPr>
          <w:p w14:paraId="3A53168A" w14:textId="77777777" w:rsidR="000F03D3" w:rsidRPr="006371E6" w:rsidRDefault="00000000">
            <w:pPr>
              <w:spacing w:before="20" w:after="20"/>
              <w:jc w:val="right"/>
            </w:pPr>
            <w:r w:rsidRPr="006371E6">
              <w:rPr>
                <w:rFonts w:ascii="Calibri" w:eastAsia="Calibri" w:hAnsi="Calibri" w:cs="Calibri"/>
                <w:sz w:val="19"/>
                <w:szCs w:val="19"/>
              </w:rPr>
              <w:t>23,1</w:t>
            </w:r>
          </w:p>
        </w:tc>
      </w:tr>
    </w:tbl>
    <w:p w14:paraId="7A778F0F" w14:textId="77777777" w:rsidR="000F03D3" w:rsidRPr="006371E6" w:rsidRDefault="00000000">
      <w:pPr>
        <w:spacing w:after="220"/>
        <w:jc w:val="center"/>
        <w:rPr>
          <w:lang w:val="es-AR"/>
        </w:rPr>
      </w:pPr>
      <w:r w:rsidRPr="006371E6">
        <w:rPr>
          <w:rFonts w:ascii="Calibri" w:eastAsia="Calibri" w:hAnsi="Calibri" w:cs="Calibri"/>
          <w:i/>
          <w:iCs/>
          <w:sz w:val="18"/>
          <w:szCs w:val="18"/>
          <w:lang w:val="es-AR"/>
        </w:rPr>
        <w:t>Cuadro 1. Serie anual de empleo y atributos. Fuente: microdatos ECH-INE; 2020: total y tasas reales, apertura sectorial estimada.</w:t>
      </w:r>
    </w:p>
    <w:p w14:paraId="57B839FE" w14:textId="77777777" w:rsidR="000F03D3" w:rsidRPr="006371E6" w:rsidRDefault="00000000">
      <w:pPr>
        <w:pStyle w:val="Ttulo2"/>
        <w:spacing w:before="220" w:after="90"/>
        <w:rPr>
          <w:color w:val="auto"/>
          <w:lang w:val="es-AR"/>
        </w:rPr>
      </w:pPr>
      <w:r w:rsidRPr="006371E6">
        <w:rPr>
          <w:rFonts w:ascii="Calibri" w:eastAsia="Calibri" w:hAnsi="Calibri" w:cs="Calibri"/>
          <w:b/>
          <w:bCs/>
          <w:color w:val="auto"/>
          <w:sz w:val="25"/>
          <w:szCs w:val="25"/>
          <w:lang w:val="es-AR"/>
        </w:rPr>
        <w:t>6.2 Estructura sectorial: servicios y Estado</w:t>
      </w:r>
    </w:p>
    <w:p w14:paraId="5195B5BD" w14:textId="43CAB777" w:rsidR="000F03D3" w:rsidRPr="006371E6" w:rsidRDefault="00000000">
      <w:pPr>
        <w:spacing w:after="160"/>
        <w:jc w:val="both"/>
        <w:rPr>
          <w:lang w:val="es-AR"/>
        </w:rPr>
      </w:pPr>
      <w:r w:rsidRPr="006371E6">
        <w:rPr>
          <w:rFonts w:ascii="Calibri" w:eastAsia="Calibri" w:hAnsi="Calibri" w:cs="Calibri"/>
          <w:sz w:val="22"/>
          <w:szCs w:val="22"/>
          <w:lang w:val="es-AR"/>
        </w:rPr>
        <w:t xml:space="preserve">El empleo uruguayo es </w:t>
      </w:r>
      <w:r w:rsidR="00CE2B14">
        <w:rPr>
          <w:rFonts w:ascii="Calibri" w:eastAsia="Calibri" w:hAnsi="Calibri" w:cs="Calibri"/>
          <w:sz w:val="22"/>
          <w:szCs w:val="22"/>
          <w:lang w:val="es-AR"/>
        </w:rPr>
        <w:t xml:space="preserve">básicamente </w:t>
      </w:r>
      <w:r w:rsidRPr="006371E6">
        <w:rPr>
          <w:rFonts w:ascii="Calibri" w:eastAsia="Calibri" w:hAnsi="Calibri" w:cs="Calibri"/>
          <w:sz w:val="22"/>
          <w:szCs w:val="22"/>
          <w:lang w:val="es-AR"/>
        </w:rPr>
        <w:t>de servicios. Los diez sectores más grandes concentran dos tercios del total (66%): comercio minorista (195 mil), salud y servicios sociales (150 mil), construcción (132 mil), enseñanza (109 mil), administración pública (108 mil), agro (98 mil), servicio doméstico (98 mil), servicios administrativos y de apoyo (85 mil), servicios profesionales (65 mil) y comercio mayorista (64 mil). Entre enseñanza, salud y administración pública</w:t>
      </w:r>
      <w:r w:rsidR="00CE2B14">
        <w:rPr>
          <w:rFonts w:ascii="Calibri" w:eastAsia="Calibri" w:hAnsi="Calibri" w:cs="Calibri"/>
          <w:sz w:val="22"/>
          <w:szCs w:val="22"/>
          <w:lang w:val="es-AR"/>
        </w:rPr>
        <w:t xml:space="preserve">, </w:t>
      </w:r>
      <w:r w:rsidRPr="006371E6">
        <w:rPr>
          <w:rFonts w:ascii="Calibri" w:eastAsia="Calibri" w:hAnsi="Calibri" w:cs="Calibri"/>
          <w:sz w:val="22"/>
          <w:szCs w:val="22"/>
          <w:lang w:val="es-AR"/>
        </w:rPr>
        <w:t>el núcleo públic</w:t>
      </w:r>
      <w:r w:rsidR="00CE2B14">
        <w:rPr>
          <w:rFonts w:ascii="Calibri" w:eastAsia="Calibri" w:hAnsi="Calibri" w:cs="Calibri"/>
          <w:sz w:val="22"/>
          <w:szCs w:val="22"/>
          <w:lang w:val="es-AR"/>
        </w:rPr>
        <w:t>o,</w:t>
      </w:r>
      <w:r w:rsidRPr="006371E6">
        <w:rPr>
          <w:rFonts w:ascii="Calibri" w:eastAsia="Calibri" w:hAnsi="Calibri" w:cs="Calibri"/>
          <w:sz w:val="22"/>
          <w:szCs w:val="22"/>
          <w:lang w:val="es-AR"/>
        </w:rPr>
        <w:t xml:space="preserve"> suman el 22% del empleo. La manufactura completa apenas supera el 10%, con la industria alimentaria como su principal empleador.</w:t>
      </w:r>
    </w:p>
    <w:p w14:paraId="776A0626" w14:textId="77777777" w:rsidR="000F03D3" w:rsidRPr="006371E6" w:rsidRDefault="00000000">
      <w:pPr>
        <w:pStyle w:val="Ttulo2"/>
        <w:spacing w:before="220" w:after="90"/>
        <w:rPr>
          <w:color w:val="auto"/>
          <w:lang w:val="es-AR"/>
        </w:rPr>
      </w:pPr>
      <w:r w:rsidRPr="006371E6">
        <w:rPr>
          <w:rFonts w:ascii="Calibri" w:eastAsia="Calibri" w:hAnsi="Calibri" w:cs="Calibri"/>
          <w:b/>
          <w:bCs/>
          <w:color w:val="auto"/>
          <w:sz w:val="25"/>
          <w:szCs w:val="25"/>
          <w:lang w:val="es-AR"/>
        </w:rPr>
        <w:t>6.3 Género: 46% del empleo, pero segregado</w:t>
      </w:r>
    </w:p>
    <w:p w14:paraId="397ACEA0" w14:textId="4CC2CF8C" w:rsidR="000F03D3" w:rsidRPr="006371E6" w:rsidRDefault="00000000">
      <w:pPr>
        <w:spacing w:after="160"/>
        <w:jc w:val="both"/>
        <w:rPr>
          <w:lang w:val="es-AR"/>
        </w:rPr>
      </w:pPr>
      <w:r w:rsidRPr="006371E6">
        <w:rPr>
          <w:rFonts w:ascii="Calibri" w:eastAsia="Calibri" w:hAnsi="Calibri" w:cs="Calibri"/>
          <w:sz w:val="22"/>
          <w:szCs w:val="22"/>
          <w:lang w:val="es-AR"/>
        </w:rPr>
        <w:t xml:space="preserve">Las mujeres son el 45,7% de los ocupados (2024), una participación estable en el período. Pero la distribución es fuertemente segregada: el empleo femenino domina el servicio doméstico (89%), la vestimenta (86%), la salud (76%) y la enseñanza (75%), mientras que la construcción (4%), la silvicultura (9%), los productos de metal (9%) y el transporte terrestre (11%) son casi enteramente masculinos. La lectura de política que deja la </w:t>
      </w:r>
      <w:proofErr w:type="spellStart"/>
      <w:r w:rsidRPr="006371E6">
        <w:rPr>
          <w:rFonts w:ascii="Calibri" w:eastAsia="Calibri" w:hAnsi="Calibri" w:cs="Calibri"/>
          <w:sz w:val="22"/>
          <w:szCs w:val="22"/>
          <w:lang w:val="es-AR"/>
        </w:rPr>
        <w:t>MIP</w:t>
      </w:r>
      <w:proofErr w:type="spellEnd"/>
      <w:r w:rsidRPr="006371E6">
        <w:rPr>
          <w:rFonts w:ascii="Calibri" w:eastAsia="Calibri" w:hAnsi="Calibri" w:cs="Calibri"/>
          <w:sz w:val="22"/>
          <w:szCs w:val="22"/>
          <w:lang w:val="es-AR"/>
        </w:rPr>
        <w:t xml:space="preserve"> es incómoda: los sectores clave y de base</w:t>
      </w:r>
      <w:r w:rsidR="00CE2B14">
        <w:rPr>
          <w:rFonts w:ascii="Calibri" w:eastAsia="Calibri" w:hAnsi="Calibri" w:cs="Calibri"/>
          <w:sz w:val="22"/>
          <w:szCs w:val="22"/>
          <w:lang w:val="es-AR"/>
        </w:rPr>
        <w:t xml:space="preserve">, </w:t>
      </w:r>
      <w:r w:rsidRPr="006371E6">
        <w:rPr>
          <w:rFonts w:ascii="Calibri" w:eastAsia="Calibri" w:hAnsi="Calibri" w:cs="Calibri"/>
          <w:sz w:val="22"/>
          <w:szCs w:val="22"/>
          <w:lang w:val="es-AR"/>
        </w:rPr>
        <w:t>los que más traccionan al resto de la economía</w:t>
      </w:r>
      <w:r w:rsidR="00CE2B14">
        <w:rPr>
          <w:rFonts w:ascii="Calibri" w:eastAsia="Calibri" w:hAnsi="Calibri" w:cs="Calibri"/>
          <w:sz w:val="22"/>
          <w:szCs w:val="22"/>
          <w:lang w:val="es-AR"/>
        </w:rPr>
        <w:t>,</w:t>
      </w:r>
      <w:r w:rsidRPr="006371E6">
        <w:rPr>
          <w:rFonts w:ascii="Calibri" w:eastAsia="Calibri" w:hAnsi="Calibri" w:cs="Calibri"/>
          <w:sz w:val="22"/>
          <w:szCs w:val="22"/>
          <w:lang w:val="es-AR"/>
        </w:rPr>
        <w:t xml:space="preserve"> emplean 20% y 36% de mujeres respectivamente, de modo que los estímulos que operan por los encadenamientos productivos tienden a generar empleo masculino, y el empleo femenino se concentra en sectores de arrastre corto (servicios sociales y personales).</w:t>
      </w:r>
    </w:p>
    <w:p w14:paraId="37559C7A" w14:textId="77777777" w:rsidR="000F03D3" w:rsidRPr="006371E6" w:rsidRDefault="00000000">
      <w:pPr>
        <w:pStyle w:val="Ttulo2"/>
        <w:spacing w:before="220" w:after="90"/>
        <w:rPr>
          <w:color w:val="auto"/>
          <w:lang w:val="es-AR"/>
        </w:rPr>
      </w:pPr>
      <w:r w:rsidRPr="006371E6">
        <w:rPr>
          <w:rFonts w:ascii="Calibri" w:eastAsia="Calibri" w:hAnsi="Calibri" w:cs="Calibri"/>
          <w:b/>
          <w:bCs/>
          <w:color w:val="auto"/>
          <w:sz w:val="25"/>
          <w:szCs w:val="25"/>
          <w:lang w:val="es-AR"/>
        </w:rPr>
        <w:lastRenderedPageBreak/>
        <w:t>6.4 Informalidad: un piso del 22% con fuerte dispersión sectorial</w:t>
      </w:r>
    </w:p>
    <w:p w14:paraId="6A60D1AE" w14:textId="49BF91CD" w:rsidR="000F03D3" w:rsidRPr="006371E6" w:rsidRDefault="00000000">
      <w:pPr>
        <w:spacing w:after="160"/>
        <w:jc w:val="both"/>
        <w:rPr>
          <w:lang w:val="es-AR"/>
        </w:rPr>
      </w:pPr>
      <w:r w:rsidRPr="006371E6">
        <w:rPr>
          <w:rFonts w:ascii="Calibri" w:eastAsia="Calibri" w:hAnsi="Calibri" w:cs="Calibri"/>
          <w:sz w:val="22"/>
          <w:szCs w:val="22"/>
          <w:lang w:val="es-AR"/>
        </w:rPr>
        <w:t xml:space="preserve">La informalidad </w:t>
      </w:r>
      <w:r w:rsidR="00CE2B14">
        <w:rPr>
          <w:rFonts w:ascii="Calibri" w:eastAsia="Calibri" w:hAnsi="Calibri" w:cs="Calibri"/>
          <w:sz w:val="22"/>
          <w:szCs w:val="22"/>
          <w:lang w:val="es-AR"/>
        </w:rPr>
        <w:t xml:space="preserve">que se mide </w:t>
      </w:r>
      <w:r w:rsidRPr="006371E6">
        <w:rPr>
          <w:rFonts w:ascii="Calibri" w:eastAsia="Calibri" w:hAnsi="Calibri" w:cs="Calibri"/>
          <w:sz w:val="22"/>
          <w:szCs w:val="22"/>
          <w:lang w:val="es-AR"/>
        </w:rPr>
        <w:t>como no aporte a caja de jubilaciones</w:t>
      </w:r>
      <w:r w:rsidR="00CE2B14">
        <w:rPr>
          <w:rFonts w:ascii="Calibri" w:eastAsia="Calibri" w:hAnsi="Calibri" w:cs="Calibri"/>
          <w:sz w:val="22"/>
          <w:szCs w:val="22"/>
          <w:lang w:val="es-AR"/>
        </w:rPr>
        <w:t>,</w:t>
      </w:r>
      <w:r w:rsidRPr="006371E6">
        <w:rPr>
          <w:rFonts w:ascii="Calibri" w:eastAsia="Calibri" w:hAnsi="Calibri" w:cs="Calibri"/>
          <w:sz w:val="22"/>
          <w:szCs w:val="22"/>
          <w:lang w:val="es-AR"/>
        </w:rPr>
        <w:t xml:space="preserve"> oscila entre 21,7% y 24,9% en el período. La caída de 2020-2021 es composicional: la pandemia destruyó proporcionalmente más empleo informal, y la recuperación posterior lo repuso. La dispersión sectorial es enorme: otros servicios personales (57%), vestimenta (52%), silvicultura (50%), otras manufacturas (46%) y servicios administrativos (43%) conviven con una administración pública (0,2%), energía (0,7%), finanzas (0,8%) y telecomunicaciones (1,1%) casi íntegramente formales. Agro y construcción, dos de los grandes empleadores, superan el 20% y el 40% respectivamente en buena parte del período.</w:t>
      </w:r>
    </w:p>
    <w:p w14:paraId="1F58E67E" w14:textId="77777777" w:rsidR="000F03D3" w:rsidRPr="006371E6" w:rsidRDefault="00000000">
      <w:pPr>
        <w:pStyle w:val="Ttulo2"/>
        <w:spacing w:before="220" w:after="90"/>
        <w:rPr>
          <w:color w:val="auto"/>
          <w:lang w:val="es-AR"/>
        </w:rPr>
      </w:pPr>
      <w:r w:rsidRPr="006371E6">
        <w:rPr>
          <w:rFonts w:ascii="Calibri" w:eastAsia="Calibri" w:hAnsi="Calibri" w:cs="Calibri"/>
          <w:b/>
          <w:bCs/>
          <w:color w:val="auto"/>
          <w:sz w:val="25"/>
          <w:szCs w:val="25"/>
          <w:lang w:val="es-AR"/>
        </w:rPr>
        <w:t>6.5 El empleo de las exportaciones: uno de cada cinco puestos</w:t>
      </w:r>
    </w:p>
    <w:p w14:paraId="308F20ED" w14:textId="1E702C7D" w:rsidR="000F03D3" w:rsidRPr="006371E6" w:rsidRDefault="00000000">
      <w:pPr>
        <w:spacing w:after="160"/>
        <w:jc w:val="both"/>
        <w:rPr>
          <w:lang w:val="es-AR"/>
        </w:rPr>
      </w:pPr>
      <w:r w:rsidRPr="006371E6">
        <w:rPr>
          <w:rFonts w:ascii="Calibri" w:eastAsia="Calibri" w:hAnsi="Calibri" w:cs="Calibri"/>
          <w:sz w:val="22"/>
          <w:szCs w:val="22"/>
          <w:lang w:val="es-AR"/>
        </w:rPr>
        <w:t xml:space="preserve">Aplicando los coeficientes de empleo a la inversa de </w:t>
      </w:r>
      <w:proofErr w:type="spellStart"/>
      <w:r w:rsidRPr="006371E6">
        <w:rPr>
          <w:rFonts w:ascii="Calibri" w:eastAsia="Calibri" w:hAnsi="Calibri" w:cs="Calibri"/>
          <w:sz w:val="22"/>
          <w:szCs w:val="22"/>
          <w:lang w:val="es-AR"/>
        </w:rPr>
        <w:t>Leontief</w:t>
      </w:r>
      <w:proofErr w:type="spellEnd"/>
      <w:r w:rsidRPr="006371E6">
        <w:rPr>
          <w:rFonts w:ascii="Calibri" w:eastAsia="Calibri" w:hAnsi="Calibri" w:cs="Calibri"/>
          <w:sz w:val="22"/>
          <w:szCs w:val="22"/>
          <w:lang w:val="es-AR"/>
        </w:rPr>
        <w:t xml:space="preserve"> y al </w:t>
      </w:r>
      <w:proofErr w:type="spellStart"/>
      <w:r w:rsidRPr="006371E6">
        <w:rPr>
          <w:rFonts w:ascii="Calibri" w:eastAsia="Calibri" w:hAnsi="Calibri" w:cs="Calibri"/>
          <w:sz w:val="22"/>
          <w:szCs w:val="22"/>
          <w:lang w:val="es-AR"/>
        </w:rPr>
        <w:t>vector</w:t>
      </w:r>
      <w:proofErr w:type="spellEnd"/>
      <w:r w:rsidRPr="006371E6">
        <w:rPr>
          <w:rFonts w:ascii="Calibri" w:eastAsia="Calibri" w:hAnsi="Calibri" w:cs="Calibri"/>
          <w:sz w:val="22"/>
          <w:szCs w:val="22"/>
          <w:lang w:val="es-AR"/>
        </w:rPr>
        <w:t xml:space="preserve"> exportador (e′·(I−</w:t>
      </w:r>
      <w:proofErr w:type="gramStart"/>
      <w:r w:rsidRPr="006371E6">
        <w:rPr>
          <w:rFonts w:ascii="Calibri" w:eastAsia="Calibri" w:hAnsi="Calibri" w:cs="Calibri"/>
          <w:sz w:val="22"/>
          <w:szCs w:val="22"/>
          <w:lang w:val="es-AR"/>
        </w:rPr>
        <w:t>A)⁻</w:t>
      </w:r>
      <w:proofErr w:type="gramEnd"/>
      <w:r w:rsidRPr="006371E6">
        <w:rPr>
          <w:rFonts w:ascii="Calibri" w:eastAsia="Calibri" w:hAnsi="Calibri" w:cs="Calibri"/>
          <w:sz w:val="22"/>
          <w:szCs w:val="22"/>
          <w:lang w:val="es-AR"/>
        </w:rPr>
        <w:t>¹·X), las exportaciones sostienen de forma estable alrededor del 20,5% del empleo total: 336 mil ocupados en 2024 (20,2%), con mínimo de 323 mil en 2020. El rasgo distintivo es el arrastre: las exportaciones de carne y lácteos sostienen mucho más empleo fuera de su propia rama</w:t>
      </w:r>
      <w:r w:rsidR="00CE2B14">
        <w:rPr>
          <w:rFonts w:ascii="Calibri" w:eastAsia="Calibri" w:hAnsi="Calibri" w:cs="Calibri"/>
          <w:sz w:val="22"/>
          <w:szCs w:val="22"/>
          <w:lang w:val="es-AR"/>
        </w:rPr>
        <w:t>, s</w:t>
      </w:r>
      <w:r w:rsidRPr="006371E6">
        <w:rPr>
          <w:rFonts w:ascii="Calibri" w:eastAsia="Calibri" w:hAnsi="Calibri" w:cs="Calibri"/>
          <w:sz w:val="22"/>
          <w:szCs w:val="22"/>
          <w:lang w:val="es-AR"/>
        </w:rPr>
        <w:t>obre todo en la agricultura, que aporta unos 54 mil ocupados a la cadena exportadora</w:t>
      </w:r>
      <w:r w:rsidR="00CE2B14">
        <w:rPr>
          <w:rFonts w:ascii="Calibri" w:eastAsia="Calibri" w:hAnsi="Calibri" w:cs="Calibri"/>
          <w:sz w:val="22"/>
          <w:szCs w:val="22"/>
          <w:lang w:val="es-AR"/>
        </w:rPr>
        <w:t>,</w:t>
      </w:r>
      <w:r w:rsidRPr="006371E6">
        <w:rPr>
          <w:rFonts w:ascii="Calibri" w:eastAsia="Calibri" w:hAnsi="Calibri" w:cs="Calibri"/>
          <w:sz w:val="22"/>
          <w:szCs w:val="22"/>
          <w:lang w:val="es-AR"/>
        </w:rPr>
        <w:t xml:space="preserve"> que dentro de ella. Ese empleo exportador es más masculino que el promedio (35-36% de mujeres contra 46% en la economía) y de informalidad similar al conjunto (24%).</w:t>
      </w:r>
    </w:p>
    <w:p w14:paraId="7DEF03ED" w14:textId="77777777" w:rsidR="000F03D3" w:rsidRPr="006371E6" w:rsidRDefault="00000000">
      <w:pPr>
        <w:pStyle w:val="Ttulo2"/>
        <w:spacing w:before="220" w:after="90"/>
        <w:rPr>
          <w:color w:val="auto"/>
          <w:lang w:val="es-AR"/>
        </w:rPr>
      </w:pPr>
      <w:r w:rsidRPr="006371E6">
        <w:rPr>
          <w:rFonts w:ascii="Calibri" w:eastAsia="Calibri" w:hAnsi="Calibri" w:cs="Calibri"/>
          <w:b/>
          <w:bCs/>
          <w:color w:val="auto"/>
          <w:sz w:val="25"/>
          <w:szCs w:val="25"/>
          <w:lang w:val="es-AR"/>
        </w:rPr>
        <w:t>6.6 Multiplicadores de empleo: dónde rinde más un millón de dólares</w:t>
      </w:r>
    </w:p>
    <w:p w14:paraId="5576A783" w14:textId="77777777" w:rsidR="000F03D3" w:rsidRPr="006371E6" w:rsidRDefault="00000000">
      <w:pPr>
        <w:spacing w:after="160"/>
        <w:jc w:val="both"/>
        <w:rPr>
          <w:lang w:val="es-AR"/>
        </w:rPr>
      </w:pPr>
      <w:r w:rsidRPr="006371E6">
        <w:rPr>
          <w:rFonts w:ascii="Calibri" w:eastAsia="Calibri" w:hAnsi="Calibri" w:cs="Calibri"/>
          <w:sz w:val="22"/>
          <w:szCs w:val="22"/>
          <w:lang w:val="es-AR"/>
        </w:rPr>
        <w:t xml:space="preserve">Con la </w:t>
      </w:r>
      <w:proofErr w:type="spellStart"/>
      <w:r w:rsidRPr="006371E6">
        <w:rPr>
          <w:rFonts w:ascii="Calibri" w:eastAsia="Calibri" w:hAnsi="Calibri" w:cs="Calibri"/>
          <w:sz w:val="22"/>
          <w:szCs w:val="22"/>
          <w:lang w:val="es-AR"/>
        </w:rPr>
        <w:t>MIP</w:t>
      </w:r>
      <w:proofErr w:type="spellEnd"/>
      <w:r w:rsidRPr="006371E6">
        <w:rPr>
          <w:rFonts w:ascii="Calibri" w:eastAsia="Calibri" w:hAnsi="Calibri" w:cs="Calibri"/>
          <w:sz w:val="22"/>
          <w:szCs w:val="22"/>
          <w:lang w:val="es-AR"/>
        </w:rPr>
        <w:t xml:space="preserve"> en dólares corrientes, la mediana del multiplicador de empleo tipo I es 1,73: cada puesto directo generado por la demanda final arrastra en promedio 0,73 puestos indirectos vía proveedores. Las mayores intensidades de empleo total por millón de USD de demanda final están en el servicio doméstico (96), la maquinaria (45), la silvicultura (45), otros servicios personales (43), la pesca (39) y la gastronomía (33); las menores, en los sectores de capital intensivo (energía, refinación, telecomunicaciones). Dos advertencias de lectura acompañan al libro: los sectores sin producción registrada en la </w:t>
      </w:r>
      <w:proofErr w:type="spellStart"/>
      <w:r w:rsidRPr="006371E6">
        <w:rPr>
          <w:rFonts w:ascii="Calibri" w:eastAsia="Calibri" w:hAnsi="Calibri" w:cs="Calibri"/>
          <w:sz w:val="22"/>
          <w:szCs w:val="22"/>
          <w:lang w:val="es-AR"/>
        </w:rPr>
        <w:t>MIP</w:t>
      </w:r>
      <w:proofErr w:type="spellEnd"/>
      <w:r w:rsidRPr="006371E6">
        <w:rPr>
          <w:rFonts w:ascii="Calibri" w:eastAsia="Calibri" w:hAnsi="Calibri" w:cs="Calibri"/>
          <w:sz w:val="22"/>
          <w:szCs w:val="22"/>
          <w:lang w:val="es-AR"/>
        </w:rPr>
        <w:t xml:space="preserve"> no tienen coeficiente, y el comercio debe leerse agregado (s46+s47+s48) porque la concordancia de cuentas nacionales concentra el valor de producción del comercio en el eslabón mayorista mientras la ECH asigna la mayor parte del empleo al minorista.</w:t>
      </w:r>
    </w:p>
    <w:p w14:paraId="440535B7" w14:textId="77777777" w:rsidR="000F03D3" w:rsidRPr="006371E6" w:rsidRDefault="00000000">
      <w:pPr>
        <w:pStyle w:val="Ttulo1"/>
        <w:spacing w:before="320" w:after="120"/>
        <w:rPr>
          <w:color w:val="auto"/>
          <w:lang w:val="es-AR"/>
        </w:rPr>
      </w:pPr>
      <w:r w:rsidRPr="006371E6">
        <w:rPr>
          <w:rFonts w:ascii="Calibri" w:eastAsia="Calibri" w:hAnsi="Calibri" w:cs="Calibri"/>
          <w:b/>
          <w:bCs/>
          <w:color w:val="auto"/>
          <w:sz w:val="30"/>
          <w:szCs w:val="30"/>
          <w:lang w:val="es-AR"/>
        </w:rPr>
        <w:t>7. Limitaciones y agenda</w:t>
      </w:r>
    </w:p>
    <w:p w14:paraId="16EA8141" w14:textId="45FF460D" w:rsidR="000F03D3" w:rsidRPr="006371E6" w:rsidRDefault="00CE2B14">
      <w:pPr>
        <w:spacing w:after="160"/>
        <w:jc w:val="both"/>
        <w:rPr>
          <w:lang w:val="es-AR"/>
        </w:rPr>
      </w:pPr>
      <w:r>
        <w:rPr>
          <w:rFonts w:ascii="Calibri" w:eastAsia="Calibri" w:hAnsi="Calibri" w:cs="Calibri"/>
          <w:sz w:val="22"/>
          <w:szCs w:val="22"/>
          <w:lang w:val="es-AR"/>
        </w:rPr>
        <w:t>A modo de conclusión, es importante destacar algunas limitaciones y desafíos que surgen del trabajo con los datos. En principio, al menos c</w:t>
      </w:r>
      <w:r w:rsidRPr="006371E6">
        <w:rPr>
          <w:rFonts w:ascii="Calibri" w:eastAsia="Calibri" w:hAnsi="Calibri" w:cs="Calibri"/>
          <w:sz w:val="22"/>
          <w:szCs w:val="22"/>
          <w:lang w:val="es-AR"/>
        </w:rPr>
        <w:t xml:space="preserve">uatro limitaciones quedan documentadas. Primera: la apertura sectorial de 2020 es estimada (interpolación 2019-2021 anclada al total real), porque la base pública de la encuesta telefónica no trae rama de actividad; si el INE publicara una versión con rama, el año podría recalcularse en su totalidad. Segunda: el rediseño de la ECH en 2021 introduce un quiebre de nivel en algunos sectores medianos que no debe leerse como ciclo económico. Tercera: el empleo de la </w:t>
      </w:r>
      <w:proofErr w:type="spellStart"/>
      <w:r w:rsidRPr="006371E6">
        <w:rPr>
          <w:rFonts w:ascii="Calibri" w:eastAsia="Calibri" w:hAnsi="Calibri" w:cs="Calibri"/>
          <w:sz w:val="22"/>
          <w:szCs w:val="22"/>
          <w:lang w:val="es-AR"/>
        </w:rPr>
        <w:t>MIP</w:t>
      </w:r>
      <w:proofErr w:type="spellEnd"/>
      <w:r w:rsidRPr="006371E6">
        <w:rPr>
          <w:rFonts w:ascii="Calibri" w:eastAsia="Calibri" w:hAnsi="Calibri" w:cs="Calibri"/>
          <w:sz w:val="22"/>
          <w:szCs w:val="22"/>
          <w:lang w:val="es-AR"/>
        </w:rPr>
        <w:t xml:space="preserve"> base 2016 del BCU no es directamente comparable con esta serie, construida íntegramente desde la ECH. Cuarta: los coeficientes de empleo del comercio minorista heredan la asimetría de la concordancia de producción del BCU y solo son informativos a nivel del comercio agregado. Con esas salvedades, la serie 2018-2024 ofrece una base laboral consistente</w:t>
      </w:r>
      <w:r>
        <w:rPr>
          <w:rFonts w:ascii="Calibri" w:eastAsia="Calibri" w:hAnsi="Calibri" w:cs="Calibri"/>
          <w:sz w:val="22"/>
          <w:szCs w:val="22"/>
          <w:lang w:val="es-AR"/>
        </w:rPr>
        <w:t xml:space="preserve">, y </w:t>
      </w:r>
      <w:r w:rsidRPr="006371E6">
        <w:rPr>
          <w:rFonts w:ascii="Calibri" w:eastAsia="Calibri" w:hAnsi="Calibri" w:cs="Calibri"/>
          <w:sz w:val="22"/>
          <w:szCs w:val="22"/>
          <w:lang w:val="es-AR"/>
        </w:rPr>
        <w:t>replicable al ocupado desde los microdatos</w:t>
      </w:r>
      <w:r>
        <w:rPr>
          <w:rFonts w:ascii="Calibri" w:eastAsia="Calibri" w:hAnsi="Calibri" w:cs="Calibri"/>
          <w:sz w:val="22"/>
          <w:szCs w:val="22"/>
          <w:lang w:val="es-AR"/>
        </w:rPr>
        <w:t>,</w:t>
      </w:r>
      <w:r w:rsidRPr="006371E6">
        <w:rPr>
          <w:rFonts w:ascii="Calibri" w:eastAsia="Calibri" w:hAnsi="Calibri" w:cs="Calibri"/>
          <w:sz w:val="22"/>
          <w:szCs w:val="22"/>
          <w:lang w:val="es-AR"/>
        </w:rPr>
        <w:t xml:space="preserve"> para el análisis insumo-producto del empleo, el género y la informalidad en Uruguay.</w:t>
      </w:r>
    </w:p>
    <w:sectPr w:rsidR="000F03D3" w:rsidRPr="006371E6">
      <w:footerReference w:type="default" r:id="rId7"/>
      <w:pgSz w:w="11906" w:h="16838"/>
      <w:pgMar w:top="1296" w:right="1440" w:bottom="1152"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AF83E" w14:textId="77777777" w:rsidR="003E0ABC" w:rsidRDefault="003E0ABC" w:rsidP="00CE2B14">
      <w:r>
        <w:separator/>
      </w:r>
    </w:p>
  </w:endnote>
  <w:endnote w:type="continuationSeparator" w:id="0">
    <w:p w14:paraId="3EAE7D17" w14:textId="77777777" w:rsidR="003E0ABC" w:rsidRDefault="003E0ABC" w:rsidP="00CE2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8840473"/>
      <w:docPartObj>
        <w:docPartGallery w:val="Page Numbers (Bottom of Page)"/>
        <w:docPartUnique/>
      </w:docPartObj>
    </w:sdtPr>
    <w:sdtContent>
      <w:p w14:paraId="246E6C79" w14:textId="41BE624F" w:rsidR="00CE2B14" w:rsidRDefault="00CE2B14">
        <w:pPr>
          <w:pStyle w:val="Piedepgina"/>
          <w:jc w:val="right"/>
        </w:pPr>
        <w:r>
          <w:fldChar w:fldCharType="begin"/>
        </w:r>
        <w:r>
          <w:instrText>PAGE   \* MERGEFORMAT</w:instrText>
        </w:r>
        <w:r>
          <w:fldChar w:fldCharType="separate"/>
        </w:r>
        <w:r>
          <w:rPr>
            <w:lang w:val="es-ES"/>
          </w:rPr>
          <w:t>2</w:t>
        </w:r>
        <w:r>
          <w:fldChar w:fldCharType="end"/>
        </w:r>
      </w:p>
    </w:sdtContent>
  </w:sdt>
  <w:p w14:paraId="388AA220" w14:textId="77777777" w:rsidR="00CE2B14" w:rsidRDefault="00CE2B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4A76A" w14:textId="77777777" w:rsidR="003E0ABC" w:rsidRDefault="003E0ABC" w:rsidP="00CE2B14">
      <w:r>
        <w:separator/>
      </w:r>
    </w:p>
  </w:footnote>
  <w:footnote w:type="continuationSeparator" w:id="0">
    <w:p w14:paraId="508435D5" w14:textId="77777777" w:rsidR="003E0ABC" w:rsidRDefault="003E0ABC" w:rsidP="00CE2B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B0147"/>
    <w:multiLevelType w:val="hybridMultilevel"/>
    <w:tmpl w:val="8132ECBE"/>
    <w:lvl w:ilvl="0" w:tplc="EADA6806">
      <w:start w:val="1"/>
      <w:numFmt w:val="bullet"/>
      <w:lvlText w:val="●"/>
      <w:lvlJc w:val="left"/>
      <w:pPr>
        <w:ind w:left="720" w:hanging="360"/>
      </w:pPr>
    </w:lvl>
    <w:lvl w:ilvl="1" w:tplc="2D904C16">
      <w:start w:val="1"/>
      <w:numFmt w:val="bullet"/>
      <w:lvlText w:val="○"/>
      <w:lvlJc w:val="left"/>
      <w:pPr>
        <w:ind w:left="1440" w:hanging="360"/>
      </w:pPr>
    </w:lvl>
    <w:lvl w:ilvl="2" w:tplc="60343E82">
      <w:start w:val="1"/>
      <w:numFmt w:val="bullet"/>
      <w:lvlText w:val="■"/>
      <w:lvlJc w:val="left"/>
      <w:pPr>
        <w:ind w:left="2160" w:hanging="360"/>
      </w:pPr>
    </w:lvl>
    <w:lvl w:ilvl="3" w:tplc="7B5AC508">
      <w:start w:val="1"/>
      <w:numFmt w:val="bullet"/>
      <w:lvlText w:val="●"/>
      <w:lvlJc w:val="left"/>
      <w:pPr>
        <w:ind w:left="2880" w:hanging="360"/>
      </w:pPr>
    </w:lvl>
    <w:lvl w:ilvl="4" w:tplc="77C2E892">
      <w:start w:val="1"/>
      <w:numFmt w:val="bullet"/>
      <w:lvlText w:val="○"/>
      <w:lvlJc w:val="left"/>
      <w:pPr>
        <w:ind w:left="3600" w:hanging="360"/>
      </w:pPr>
    </w:lvl>
    <w:lvl w:ilvl="5" w:tplc="A9940BC0">
      <w:start w:val="1"/>
      <w:numFmt w:val="bullet"/>
      <w:lvlText w:val="■"/>
      <w:lvlJc w:val="left"/>
      <w:pPr>
        <w:ind w:left="4320" w:hanging="360"/>
      </w:pPr>
    </w:lvl>
    <w:lvl w:ilvl="6" w:tplc="3A28689A">
      <w:start w:val="1"/>
      <w:numFmt w:val="bullet"/>
      <w:lvlText w:val="●"/>
      <w:lvlJc w:val="left"/>
      <w:pPr>
        <w:ind w:left="5040" w:hanging="360"/>
      </w:pPr>
    </w:lvl>
    <w:lvl w:ilvl="7" w:tplc="70AE4E30">
      <w:start w:val="1"/>
      <w:numFmt w:val="bullet"/>
      <w:lvlText w:val="●"/>
      <w:lvlJc w:val="left"/>
      <w:pPr>
        <w:ind w:left="5760" w:hanging="360"/>
      </w:pPr>
    </w:lvl>
    <w:lvl w:ilvl="8" w:tplc="EB5A7AD4">
      <w:start w:val="1"/>
      <w:numFmt w:val="bullet"/>
      <w:lvlText w:val="●"/>
      <w:lvlJc w:val="left"/>
      <w:pPr>
        <w:ind w:left="6480" w:hanging="360"/>
      </w:pPr>
    </w:lvl>
  </w:abstractNum>
  <w:num w:numId="1" w16cid:durableId="15517273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3D3"/>
    <w:rsid w:val="000F03D3"/>
    <w:rsid w:val="001E1AFC"/>
    <w:rsid w:val="003E0ABC"/>
    <w:rsid w:val="00522489"/>
    <w:rsid w:val="00532259"/>
    <w:rsid w:val="006371E6"/>
    <w:rsid w:val="00CE2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12BE"/>
  <w15:docId w15:val="{F0C13E0E-249A-4D82-AA77-1EA985439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E2B14"/>
    <w:pPr>
      <w:tabs>
        <w:tab w:val="center" w:pos="4680"/>
        <w:tab w:val="right" w:pos="9360"/>
      </w:tabs>
    </w:pPr>
  </w:style>
  <w:style w:type="character" w:customStyle="1" w:styleId="EncabezadoCar">
    <w:name w:val="Encabezado Car"/>
    <w:basedOn w:val="Fuentedeprrafopredeter"/>
    <w:link w:val="Encabezado"/>
    <w:uiPriority w:val="99"/>
    <w:rsid w:val="00CE2B14"/>
  </w:style>
  <w:style w:type="paragraph" w:styleId="Piedepgina">
    <w:name w:val="footer"/>
    <w:basedOn w:val="Normal"/>
    <w:link w:val="PiedepginaCar"/>
    <w:uiPriority w:val="99"/>
    <w:unhideWhenUsed/>
    <w:rsid w:val="00CE2B14"/>
    <w:pPr>
      <w:tabs>
        <w:tab w:val="center" w:pos="4680"/>
        <w:tab w:val="right" w:pos="9360"/>
      </w:tabs>
    </w:pPr>
  </w:style>
  <w:style w:type="character" w:customStyle="1" w:styleId="PiedepginaCar">
    <w:name w:val="Pie de página Car"/>
    <w:basedOn w:val="Fuentedeprrafopredeter"/>
    <w:link w:val="Piedepgina"/>
    <w:uiPriority w:val="99"/>
    <w:rsid w:val="00CE2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1578</Words>
  <Characters>9001</Characters>
  <Application>Microsoft Office Word</Application>
  <DocSecurity>0</DocSecurity>
  <Lines>75</Lines>
  <Paragraphs>21</Paragraphs>
  <ScaleCrop>false</ScaleCrop>
  <Company/>
  <LinksUpToDate>false</LinksUpToDate>
  <CharactersWithSpaces>10558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Elosegui</cp:lastModifiedBy>
  <cp:revision>2</cp:revision>
  <dcterms:created xsi:type="dcterms:W3CDTF">2026-10-07T23:46:00Z</dcterms:created>
  <dcterms:modified xsi:type="dcterms:W3CDTF">2026-10-07T23:46:00Z</dcterms:modified>
</cp:coreProperties>
</file>