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FCE53" w14:textId="789B1887" w:rsidR="000D7EDA" w:rsidRPr="00584BB5" w:rsidRDefault="000D7EDA">
      <w:pPr>
        <w:rPr>
          <w:rFonts w:ascii="Times" w:hAnsi="Times"/>
          <w:b/>
        </w:rPr>
      </w:pPr>
      <w:r w:rsidRPr="00584BB5">
        <w:rPr>
          <w:rFonts w:ascii="Times" w:hAnsi="Times"/>
          <w:b/>
        </w:rPr>
        <w:t>Anne Eller</w:t>
      </w:r>
    </w:p>
    <w:p w14:paraId="7D7B272E" w14:textId="7FCA1F22" w:rsidR="000D7EDA" w:rsidRPr="00584BB5" w:rsidRDefault="00584BB5">
      <w:pPr>
        <w:rPr>
          <w:rFonts w:ascii="Times" w:hAnsi="Times"/>
          <w:b/>
        </w:rPr>
      </w:pPr>
      <w:r w:rsidRPr="00584BB5">
        <w:rPr>
          <w:rFonts w:ascii="Times" w:hAnsi="Times"/>
          <w:b/>
        </w:rPr>
        <w:t>Colony in Crisis review</w:t>
      </w:r>
    </w:p>
    <w:p w14:paraId="246CDF95" w14:textId="77777777" w:rsidR="00584BB5" w:rsidRDefault="00584BB5">
      <w:pPr>
        <w:pBdr>
          <w:bottom w:val="single" w:sz="6" w:space="1" w:color="auto"/>
        </w:pBdr>
        <w:rPr>
          <w:rFonts w:ascii="Times" w:hAnsi="Times"/>
        </w:rPr>
      </w:pPr>
    </w:p>
    <w:p w14:paraId="11E8ABB5" w14:textId="77777777" w:rsidR="00D67F90" w:rsidRDefault="00D67F90">
      <w:pPr>
        <w:rPr>
          <w:rFonts w:ascii="Times" w:hAnsi="Times"/>
        </w:rPr>
      </w:pPr>
    </w:p>
    <w:p w14:paraId="616C3EDB" w14:textId="51A93B16" w:rsidR="00467F89" w:rsidRPr="00485C61" w:rsidRDefault="00467F89">
      <w:pPr>
        <w:rPr>
          <w:rFonts w:ascii="Times" w:hAnsi="Times"/>
        </w:rPr>
      </w:pPr>
      <w:r w:rsidRPr="00485C61">
        <w:rPr>
          <w:rFonts w:ascii="Times" w:hAnsi="Times"/>
          <w:i/>
        </w:rPr>
        <w:t xml:space="preserve">Colony in Crisis </w:t>
      </w:r>
      <w:r w:rsidRPr="00485C61">
        <w:rPr>
          <w:rFonts w:ascii="Times" w:hAnsi="Times"/>
        </w:rPr>
        <w:t>is a remarkable</w:t>
      </w:r>
      <w:r w:rsidR="00544844" w:rsidRPr="00485C61">
        <w:rPr>
          <w:rFonts w:ascii="Times" w:hAnsi="Times"/>
        </w:rPr>
        <w:t xml:space="preserve"> digital</w:t>
      </w:r>
      <w:r w:rsidRPr="00485C61">
        <w:rPr>
          <w:rFonts w:ascii="Times" w:hAnsi="Times"/>
        </w:rPr>
        <w:t xml:space="preserve"> collection of documents curated, translated, and contextualized for a wide audience</w:t>
      </w:r>
      <w:r w:rsidR="00AA345E" w:rsidRPr="00485C61">
        <w:rPr>
          <w:rFonts w:ascii="Times" w:hAnsi="Times"/>
        </w:rPr>
        <w:t xml:space="preserve"> of academics, students, and the general public</w:t>
      </w:r>
      <w:r w:rsidRPr="00485C61">
        <w:rPr>
          <w:rFonts w:ascii="Times" w:hAnsi="Times"/>
        </w:rPr>
        <w:t>.</w:t>
      </w:r>
      <w:r w:rsidR="00F70742" w:rsidRPr="00485C61">
        <w:rPr>
          <w:rFonts w:ascii="Times" w:hAnsi="Times"/>
        </w:rPr>
        <w:t xml:space="preserve">  </w:t>
      </w:r>
      <w:r w:rsidR="00747D91" w:rsidRPr="00485C61">
        <w:rPr>
          <w:rFonts w:ascii="Times" w:hAnsi="Times"/>
        </w:rPr>
        <w:t xml:space="preserve">Three primary </w:t>
      </w:r>
      <w:r w:rsidR="00F06DC7">
        <w:rPr>
          <w:rFonts w:ascii="Times" w:hAnsi="Times"/>
        </w:rPr>
        <w:t xml:space="preserve">site </w:t>
      </w:r>
      <w:r w:rsidR="00747D91" w:rsidRPr="00485C61">
        <w:rPr>
          <w:rFonts w:ascii="Times" w:hAnsi="Times"/>
        </w:rPr>
        <w:t>authors gather</w:t>
      </w:r>
      <w:r w:rsidR="006C17C9">
        <w:rPr>
          <w:rFonts w:ascii="Times" w:hAnsi="Times"/>
        </w:rPr>
        <w:t>, translate, and introduce</w:t>
      </w:r>
      <w:r w:rsidR="00747D91" w:rsidRPr="00485C61">
        <w:rPr>
          <w:rFonts w:ascii="Times" w:hAnsi="Times"/>
        </w:rPr>
        <w:t xml:space="preserve"> the pamphlets highlighted </w:t>
      </w:r>
      <w:r w:rsidR="00EE346D">
        <w:rPr>
          <w:rFonts w:ascii="Times" w:hAnsi="Times"/>
        </w:rPr>
        <w:t>on the site</w:t>
      </w:r>
      <w:r w:rsidR="00747D91" w:rsidRPr="00485C61">
        <w:rPr>
          <w:rFonts w:ascii="Times" w:hAnsi="Times"/>
        </w:rPr>
        <w:t>, advised by an</w:t>
      </w:r>
      <w:r w:rsidR="006668A0" w:rsidRPr="00485C61">
        <w:rPr>
          <w:rFonts w:ascii="Times" w:hAnsi="Times"/>
        </w:rPr>
        <w:t xml:space="preserve"> interdisciplinary</w:t>
      </w:r>
      <w:r w:rsidR="00F70742" w:rsidRPr="00485C61">
        <w:rPr>
          <w:rFonts w:ascii="Times" w:hAnsi="Times"/>
        </w:rPr>
        <w:t xml:space="preserve"> group of experts.</w:t>
      </w:r>
      <w:r w:rsidR="006030ED" w:rsidRPr="00485C61">
        <w:rPr>
          <w:rFonts w:ascii="Times" w:hAnsi="Times"/>
        </w:rPr>
        <w:t xml:space="preserve">  In the table of contents for each issue, a short description offers helpful orientation.  Each document benefits from a longer introduction on its own page</w:t>
      </w:r>
      <w:r w:rsidR="00345F40" w:rsidRPr="00485C61">
        <w:rPr>
          <w:rFonts w:ascii="Times" w:hAnsi="Times"/>
        </w:rPr>
        <w:t xml:space="preserve">, where the French document is </w:t>
      </w:r>
      <w:r w:rsidR="00830A11" w:rsidRPr="00485C61">
        <w:rPr>
          <w:rFonts w:ascii="Times" w:hAnsi="Times"/>
        </w:rPr>
        <w:t xml:space="preserve">linked from </w:t>
      </w:r>
      <w:hyperlink r:id="rId8" w:history="1">
        <w:r w:rsidR="00830A11" w:rsidRPr="00E63008">
          <w:rPr>
            <w:rStyle w:val="Hyperlink"/>
            <w:rFonts w:ascii="Times" w:hAnsi="Times"/>
          </w:rPr>
          <w:t>Internet Archive</w:t>
        </w:r>
      </w:hyperlink>
      <w:r w:rsidR="00F06DC7">
        <w:rPr>
          <w:rFonts w:ascii="Times" w:hAnsi="Times"/>
        </w:rPr>
        <w:t xml:space="preserve"> in its entirety and the authors present a</w:t>
      </w:r>
      <w:r w:rsidR="00345F40" w:rsidRPr="00485C61">
        <w:rPr>
          <w:rFonts w:ascii="Times" w:hAnsi="Times"/>
        </w:rPr>
        <w:t xml:space="preserve"> 500-700-word English translation</w:t>
      </w:r>
      <w:r w:rsidR="00F9422B" w:rsidRPr="00485C61">
        <w:rPr>
          <w:rFonts w:ascii="Times" w:hAnsi="Times"/>
        </w:rPr>
        <w:t xml:space="preserve">.  The site is eminently accessible and </w:t>
      </w:r>
      <w:r w:rsidR="004A1AC4">
        <w:rPr>
          <w:rFonts w:ascii="Times" w:hAnsi="Times"/>
        </w:rPr>
        <w:t>welcoming</w:t>
      </w:r>
      <w:r w:rsidR="00B423A2">
        <w:rPr>
          <w:rFonts w:ascii="Times" w:hAnsi="Times"/>
        </w:rPr>
        <w:t xml:space="preserve"> for new users</w:t>
      </w:r>
      <w:r w:rsidR="006030ED" w:rsidRPr="00485C61">
        <w:rPr>
          <w:rFonts w:ascii="Times" w:hAnsi="Times"/>
        </w:rPr>
        <w:t>, well designed</w:t>
      </w:r>
      <w:r w:rsidR="00CC0B5C" w:rsidRPr="00485C61">
        <w:rPr>
          <w:rFonts w:ascii="Times" w:hAnsi="Times"/>
        </w:rPr>
        <w:t xml:space="preserve">, </w:t>
      </w:r>
      <w:r w:rsidR="00FD1A47" w:rsidRPr="00485C61">
        <w:rPr>
          <w:rFonts w:ascii="Times" w:hAnsi="Times"/>
        </w:rPr>
        <w:t xml:space="preserve">with </w:t>
      </w:r>
      <w:r w:rsidR="00CC0B5C" w:rsidRPr="00485C61">
        <w:rPr>
          <w:rFonts w:ascii="Times" w:hAnsi="Times"/>
        </w:rPr>
        <w:t>built-in link redundancies for excellent navigation between documents, explanations, and the rest of the project</w:t>
      </w:r>
      <w:r w:rsidR="006030ED" w:rsidRPr="00485C61">
        <w:rPr>
          <w:rFonts w:ascii="Times" w:hAnsi="Times"/>
        </w:rPr>
        <w:t>.</w:t>
      </w:r>
    </w:p>
    <w:p w14:paraId="79751141" w14:textId="77777777" w:rsidR="005B31BE" w:rsidRPr="00485C61" w:rsidRDefault="005B31BE">
      <w:pPr>
        <w:rPr>
          <w:rFonts w:ascii="Times" w:hAnsi="Times"/>
        </w:rPr>
      </w:pPr>
    </w:p>
    <w:p w14:paraId="741CD730" w14:textId="6D3DBF35" w:rsidR="0032127D" w:rsidRDefault="0032127D" w:rsidP="005374B3">
      <w:pPr>
        <w:rPr>
          <w:rFonts w:ascii="Times" w:hAnsi="Times"/>
        </w:rPr>
      </w:pPr>
      <w:r>
        <w:rPr>
          <w:rFonts w:ascii="Times" w:hAnsi="Times"/>
          <w:i/>
        </w:rPr>
        <w:t>Colony</w:t>
      </w:r>
      <w:r>
        <w:rPr>
          <w:rFonts w:ascii="Times" w:hAnsi="Times"/>
        </w:rPr>
        <w:t>’s</w:t>
      </w:r>
      <w:r w:rsidR="00D7263D">
        <w:rPr>
          <w:rFonts w:ascii="Times" w:hAnsi="Times"/>
        </w:rPr>
        <w:t xml:space="preserve"> authors hope to emphasize</w:t>
      </w:r>
      <w:r w:rsidR="00D7263D" w:rsidRPr="00485C61">
        <w:rPr>
          <w:rFonts w:ascii="Times" w:hAnsi="Times"/>
        </w:rPr>
        <w:t xml:space="preserve"> more of a “back and forth” </w:t>
      </w:r>
      <w:r w:rsidR="00004A68">
        <w:rPr>
          <w:rFonts w:ascii="Times" w:hAnsi="Times"/>
        </w:rPr>
        <w:t xml:space="preserve">between metropole and colony </w:t>
      </w:r>
      <w:r w:rsidR="00D7263D" w:rsidRPr="00485C61">
        <w:rPr>
          <w:rFonts w:ascii="Times" w:hAnsi="Times"/>
        </w:rPr>
        <w:t>than traditional historiography has realized</w:t>
      </w:r>
      <w:r w:rsidR="00D7263D">
        <w:rPr>
          <w:rFonts w:ascii="Times" w:hAnsi="Times"/>
        </w:rPr>
        <w:t>;</w:t>
      </w:r>
      <w:r w:rsidR="005925EB">
        <w:rPr>
          <w:rFonts w:ascii="Times" w:hAnsi="Times"/>
        </w:rPr>
        <w:t xml:space="preserve"> the format, in the form of replies and counter replies in pamphlets, </w:t>
      </w:r>
      <w:r w:rsidR="00441883">
        <w:rPr>
          <w:rFonts w:ascii="Times" w:hAnsi="Times"/>
        </w:rPr>
        <w:t>fruitfully</w:t>
      </w:r>
      <w:r w:rsidR="005925EB">
        <w:rPr>
          <w:rFonts w:ascii="Times" w:hAnsi="Times"/>
        </w:rPr>
        <w:t xml:space="preserve"> </w:t>
      </w:r>
      <w:r w:rsidR="0005266E">
        <w:rPr>
          <w:rFonts w:ascii="Times" w:hAnsi="Times"/>
        </w:rPr>
        <w:t>highlights</w:t>
      </w:r>
      <w:r w:rsidR="005925EB">
        <w:rPr>
          <w:rFonts w:ascii="Times" w:hAnsi="Times"/>
        </w:rPr>
        <w:t xml:space="preserve"> this objective.</w:t>
      </w:r>
      <w:r w:rsidR="005925EB">
        <w:rPr>
          <w:rStyle w:val="FootnoteReference"/>
          <w:rFonts w:ascii="Times" w:hAnsi="Times"/>
        </w:rPr>
        <w:footnoteReference w:id="1"/>
      </w:r>
      <w:r w:rsidR="00D7263D">
        <w:rPr>
          <w:rFonts w:ascii="Times" w:hAnsi="Times"/>
        </w:rPr>
        <w:t xml:space="preserve"> </w:t>
      </w:r>
      <w:r w:rsidRPr="005374B3">
        <w:rPr>
          <w:rFonts w:ascii="Times" w:hAnsi="Times"/>
        </w:rPr>
        <w:t>University of Maryland pamphlets figure prominently in these first issues.  The university holds 12,000 French-language pamphlets, of which nearly 500 relate directly to France’s Atlantic colonies.</w:t>
      </w:r>
      <w:r w:rsidRPr="00485C61">
        <w:rPr>
          <w:rStyle w:val="FootnoteReference"/>
          <w:rFonts w:ascii="Times" w:hAnsi="Times"/>
        </w:rPr>
        <w:footnoteReference w:id="2"/>
      </w:r>
      <w:r w:rsidR="00E34993">
        <w:rPr>
          <w:rFonts w:ascii="Times" w:hAnsi="Times"/>
        </w:rPr>
        <w:t xml:space="preserve">  </w:t>
      </w:r>
      <w:r w:rsidR="00B82458">
        <w:rPr>
          <w:rFonts w:ascii="Times" w:hAnsi="Times"/>
        </w:rPr>
        <w:t>Both issues focus</w:t>
      </w:r>
      <w:r w:rsidR="00B82458" w:rsidRPr="00485C61">
        <w:rPr>
          <w:rFonts w:ascii="Times" w:hAnsi="Times"/>
        </w:rPr>
        <w:t xml:space="preserve"> on the relationship of white planters in Saint-Do</w:t>
      </w:r>
      <w:r w:rsidR="00B82458">
        <w:rPr>
          <w:rFonts w:ascii="Times" w:hAnsi="Times"/>
        </w:rPr>
        <w:t xml:space="preserve">mingue with metropolitan France, as both sides offer entrenched positions on trade controls in the colony. </w:t>
      </w:r>
      <w:r w:rsidR="005F74A8">
        <w:rPr>
          <w:rFonts w:ascii="Times" w:hAnsi="Times"/>
        </w:rPr>
        <w:t xml:space="preserve"> The</w:t>
      </w:r>
      <w:r w:rsidR="00E34993">
        <w:rPr>
          <w:rFonts w:ascii="Times" w:hAnsi="Times"/>
        </w:rPr>
        <w:t xml:space="preserve"> authors have selected documents that highlight discourses of permanent complaint</w:t>
      </w:r>
      <w:r w:rsidR="00A32B26">
        <w:rPr>
          <w:rFonts w:ascii="Times" w:hAnsi="Times"/>
        </w:rPr>
        <w:t xml:space="preserve">, </w:t>
      </w:r>
      <w:r w:rsidR="00EA64D8">
        <w:rPr>
          <w:rFonts w:ascii="Times" w:hAnsi="Times"/>
        </w:rPr>
        <w:t xml:space="preserve">of </w:t>
      </w:r>
      <w:r w:rsidR="00A32B26">
        <w:rPr>
          <w:rFonts w:ascii="Times" w:hAnsi="Times"/>
        </w:rPr>
        <w:t xml:space="preserve">fundamental conflicts between </w:t>
      </w:r>
      <w:r w:rsidR="00CA7B2D">
        <w:rPr>
          <w:rFonts w:ascii="Times" w:hAnsi="Times"/>
        </w:rPr>
        <w:t>the financial interests of planters</w:t>
      </w:r>
      <w:r w:rsidR="00A32B26">
        <w:rPr>
          <w:rFonts w:ascii="Times" w:hAnsi="Times"/>
        </w:rPr>
        <w:t xml:space="preserve"> and the </w:t>
      </w:r>
      <w:r w:rsidR="00CA7B2D">
        <w:rPr>
          <w:rFonts w:ascii="Times" w:hAnsi="Times"/>
        </w:rPr>
        <w:t>trade</w:t>
      </w:r>
      <w:r w:rsidR="00A32B26">
        <w:rPr>
          <w:rFonts w:ascii="Times" w:hAnsi="Times"/>
        </w:rPr>
        <w:t xml:space="preserve"> monopolies of the metropole.</w:t>
      </w:r>
    </w:p>
    <w:p w14:paraId="43540D03" w14:textId="77777777" w:rsidR="00E34993" w:rsidRDefault="00E34993">
      <w:pPr>
        <w:rPr>
          <w:rFonts w:ascii="Times" w:hAnsi="Times"/>
        </w:rPr>
      </w:pPr>
    </w:p>
    <w:p w14:paraId="391352A8" w14:textId="64BFD63C" w:rsidR="00087FA4" w:rsidRPr="00A85704" w:rsidRDefault="002C34A1" w:rsidP="00A85704">
      <w:pPr>
        <w:rPr>
          <w:rFonts w:ascii="Times" w:hAnsi="Times"/>
        </w:rPr>
      </w:pPr>
      <w:r>
        <w:rPr>
          <w:rFonts w:ascii="Times" w:hAnsi="Times"/>
        </w:rPr>
        <w:t>Despite a shortage in France, there</w:t>
      </w:r>
      <w:r w:rsidR="0034217F">
        <w:rPr>
          <w:rFonts w:ascii="Times" w:hAnsi="Times"/>
        </w:rPr>
        <w:t xml:space="preserve"> is some </w:t>
      </w:r>
      <w:r w:rsidR="002A13B0">
        <w:rPr>
          <w:rFonts w:ascii="Times" w:hAnsi="Times"/>
        </w:rPr>
        <w:t>deep ambiguity</w:t>
      </w:r>
      <w:r w:rsidR="0034217F">
        <w:rPr>
          <w:rFonts w:ascii="Times" w:hAnsi="Times"/>
        </w:rPr>
        <w:t xml:space="preserve"> about </w:t>
      </w:r>
      <w:r w:rsidR="009A3484">
        <w:rPr>
          <w:rFonts w:ascii="Times" w:hAnsi="Times"/>
        </w:rPr>
        <w:t xml:space="preserve">whether </w:t>
      </w:r>
      <w:r w:rsidR="0034217F">
        <w:rPr>
          <w:rFonts w:ascii="Times" w:hAnsi="Times"/>
        </w:rPr>
        <w:t>an</w:t>
      </w:r>
      <w:r w:rsidR="00AF0B22">
        <w:rPr>
          <w:rFonts w:ascii="Times" w:hAnsi="Times"/>
        </w:rPr>
        <w:t>y</w:t>
      </w:r>
      <w:r w:rsidR="0034217F">
        <w:rPr>
          <w:rFonts w:ascii="Times" w:hAnsi="Times"/>
        </w:rPr>
        <w:t xml:space="preserve"> actual “grain shortage” </w:t>
      </w:r>
      <w:r w:rsidR="009A3484">
        <w:rPr>
          <w:rFonts w:ascii="Times" w:hAnsi="Times"/>
        </w:rPr>
        <w:t xml:space="preserve">actually </w:t>
      </w:r>
      <w:r w:rsidR="00857CB6">
        <w:rPr>
          <w:rFonts w:ascii="Times" w:hAnsi="Times"/>
        </w:rPr>
        <w:t>reached</w:t>
      </w:r>
      <w:r>
        <w:rPr>
          <w:rFonts w:ascii="Times" w:hAnsi="Times"/>
        </w:rPr>
        <w:t xml:space="preserve"> Saint-</w:t>
      </w:r>
      <w:r w:rsidR="00857CB6">
        <w:rPr>
          <w:rFonts w:ascii="Times" w:hAnsi="Times"/>
        </w:rPr>
        <w:t>Domingue</w:t>
      </w:r>
      <w:r>
        <w:rPr>
          <w:rFonts w:ascii="Times" w:hAnsi="Times"/>
        </w:rPr>
        <w:t xml:space="preserve"> </w:t>
      </w:r>
      <w:r w:rsidR="00072C24">
        <w:rPr>
          <w:rFonts w:ascii="Times" w:hAnsi="Times"/>
        </w:rPr>
        <w:t>and whom it might have affected</w:t>
      </w:r>
      <w:r w:rsidR="0034217F">
        <w:rPr>
          <w:rFonts w:ascii="Times" w:hAnsi="Times"/>
        </w:rPr>
        <w:t>.</w:t>
      </w:r>
      <w:r w:rsidR="003011A2">
        <w:rPr>
          <w:rFonts w:ascii="Times" w:hAnsi="Times"/>
        </w:rPr>
        <w:t xml:space="preserve"> </w:t>
      </w:r>
      <w:r w:rsidR="00072C24">
        <w:rPr>
          <w:rFonts w:ascii="Times" w:hAnsi="Times"/>
          <w:i/>
        </w:rPr>
        <w:t>Colony</w:t>
      </w:r>
      <w:r w:rsidR="00072C24">
        <w:rPr>
          <w:rFonts w:ascii="Times" w:hAnsi="Times"/>
        </w:rPr>
        <w:t>’s</w:t>
      </w:r>
      <w:r w:rsidR="00196F3E">
        <w:rPr>
          <w:rFonts w:ascii="Times" w:hAnsi="Times"/>
        </w:rPr>
        <w:t xml:space="preserve"> site</w:t>
      </w:r>
      <w:r w:rsidR="00DF4F7C">
        <w:rPr>
          <w:rFonts w:ascii="Times" w:hAnsi="Times"/>
        </w:rPr>
        <w:t xml:space="preserve"> authors call the grain “much needed,” and refer to a “potential famine,” echoing the language of</w:t>
      </w:r>
      <w:r w:rsidR="00333D2F">
        <w:rPr>
          <w:rFonts w:ascii="Times" w:hAnsi="Times"/>
        </w:rPr>
        <w:t xml:space="preserve"> the 1780s planter</w:t>
      </w:r>
      <w:r w:rsidR="00DF4F7C">
        <w:rPr>
          <w:rFonts w:ascii="Times" w:hAnsi="Times"/>
        </w:rPr>
        <w:t xml:space="preserve"> supplicants who spoke of a “</w:t>
      </w:r>
      <w:r w:rsidR="00DF4F7C" w:rsidRPr="00A401A8">
        <w:rPr>
          <w:rFonts w:ascii="Times" w:hAnsi="Times"/>
          <w:i/>
        </w:rPr>
        <w:t>fear</w:t>
      </w:r>
      <w:r w:rsidR="00A401A8">
        <w:rPr>
          <w:rFonts w:ascii="Times" w:hAnsi="Times"/>
        </w:rPr>
        <w:t xml:space="preserve"> of a food shortage</w:t>
      </w:r>
      <w:r w:rsidR="00452C9A">
        <w:rPr>
          <w:rFonts w:ascii="Times" w:hAnsi="Times"/>
        </w:rPr>
        <w:t>.</w:t>
      </w:r>
      <w:r w:rsidR="00DF4F7C">
        <w:rPr>
          <w:rFonts w:ascii="Times" w:hAnsi="Times"/>
        </w:rPr>
        <w:t>”</w:t>
      </w:r>
      <w:r w:rsidR="00DF4F7C">
        <w:rPr>
          <w:rStyle w:val="FootnoteReference"/>
          <w:rFonts w:ascii="Times" w:hAnsi="Times"/>
        </w:rPr>
        <w:footnoteReference w:id="3"/>
      </w:r>
      <w:r w:rsidR="005837BE">
        <w:rPr>
          <w:rFonts w:ascii="Times" w:hAnsi="Times"/>
        </w:rPr>
        <w:t xml:space="preserve"> </w:t>
      </w:r>
      <w:r w:rsidR="004952B5">
        <w:rPr>
          <w:rFonts w:ascii="Times" w:hAnsi="Times"/>
        </w:rPr>
        <w:t xml:space="preserve">This potential </w:t>
      </w:r>
      <w:r w:rsidR="00B14A48">
        <w:rPr>
          <w:rFonts w:ascii="Times" w:hAnsi="Times"/>
        </w:rPr>
        <w:t>shortfall</w:t>
      </w:r>
      <w:bookmarkStart w:id="0" w:name="_GoBack"/>
      <w:bookmarkEnd w:id="0"/>
      <w:r w:rsidR="004952B5">
        <w:rPr>
          <w:rFonts w:ascii="Times" w:hAnsi="Times"/>
        </w:rPr>
        <w:t xml:space="preserve"> </w:t>
      </w:r>
      <w:r w:rsidR="00A006E6">
        <w:rPr>
          <w:rFonts w:ascii="Times" w:hAnsi="Times"/>
        </w:rPr>
        <w:t>threatened</w:t>
      </w:r>
      <w:r w:rsidR="004952B5">
        <w:rPr>
          <w:rFonts w:ascii="Times" w:hAnsi="Times"/>
        </w:rPr>
        <w:t xml:space="preserve"> almost </w:t>
      </w:r>
      <w:r w:rsidR="00A006E6">
        <w:rPr>
          <w:rFonts w:ascii="Times" w:hAnsi="Times"/>
        </w:rPr>
        <w:t>exclusively</w:t>
      </w:r>
      <w:r w:rsidR="00F708E2">
        <w:rPr>
          <w:rFonts w:ascii="Times" w:hAnsi="Times"/>
        </w:rPr>
        <w:t xml:space="preserve"> the</w:t>
      </w:r>
      <w:r w:rsidR="002C2591">
        <w:rPr>
          <w:rFonts w:ascii="Times" w:hAnsi="Times"/>
        </w:rPr>
        <w:t xml:space="preserve"> consumption </w:t>
      </w:r>
      <w:r w:rsidR="00F708E2">
        <w:rPr>
          <w:rFonts w:ascii="Times" w:hAnsi="Times"/>
        </w:rPr>
        <w:t>of</w:t>
      </w:r>
      <w:r w:rsidR="00A006E6">
        <w:rPr>
          <w:rFonts w:ascii="Times" w:hAnsi="Times"/>
        </w:rPr>
        <w:t xml:space="preserve"> the planter minority, however</w:t>
      </w:r>
      <w:r w:rsidR="007C1CBF">
        <w:rPr>
          <w:rFonts w:ascii="Times" w:hAnsi="Times"/>
        </w:rPr>
        <w:t>, and t</w:t>
      </w:r>
      <w:r w:rsidR="004229D7">
        <w:rPr>
          <w:rFonts w:ascii="Times" w:hAnsi="Times"/>
        </w:rPr>
        <w:t xml:space="preserve">he intendant of the colony denied any </w:t>
      </w:r>
      <w:r w:rsidR="003811CA">
        <w:rPr>
          <w:rFonts w:ascii="Times" w:hAnsi="Times"/>
        </w:rPr>
        <w:t>threat to</w:t>
      </w:r>
      <w:r w:rsidR="00E02BC1">
        <w:rPr>
          <w:rFonts w:ascii="Times" w:hAnsi="Times"/>
        </w:rPr>
        <w:t xml:space="preserve"> planter diets</w:t>
      </w:r>
      <w:r w:rsidR="004229D7">
        <w:rPr>
          <w:rFonts w:ascii="Times" w:hAnsi="Times"/>
        </w:rPr>
        <w:t xml:space="preserve"> at all</w:t>
      </w:r>
      <w:r w:rsidR="002367B0">
        <w:rPr>
          <w:rFonts w:ascii="Times" w:hAnsi="Times"/>
        </w:rPr>
        <w:t>,</w:t>
      </w:r>
      <w:r w:rsidR="00F7773D">
        <w:rPr>
          <w:rFonts w:ascii="Times" w:hAnsi="Times"/>
        </w:rPr>
        <w:t xml:space="preserve"> as he defended his own actions</w:t>
      </w:r>
      <w:r w:rsidR="004229D7">
        <w:rPr>
          <w:rFonts w:ascii="Times" w:hAnsi="Times"/>
        </w:rPr>
        <w:t>.</w:t>
      </w:r>
      <w:r w:rsidR="004229D7">
        <w:rPr>
          <w:rStyle w:val="FootnoteReference"/>
          <w:rFonts w:ascii="Times" w:hAnsi="Times"/>
        </w:rPr>
        <w:footnoteReference w:id="4"/>
      </w:r>
      <w:r w:rsidR="00D636E1">
        <w:rPr>
          <w:rFonts w:ascii="Times" w:hAnsi="Times"/>
        </w:rPr>
        <w:t xml:space="preserve"> </w:t>
      </w:r>
      <w:r w:rsidR="00653377">
        <w:rPr>
          <w:rFonts w:ascii="Times" w:hAnsi="Times"/>
        </w:rPr>
        <w:t xml:space="preserve"> </w:t>
      </w:r>
      <w:r w:rsidR="00D636E1">
        <w:rPr>
          <w:rFonts w:ascii="Times" w:hAnsi="Times"/>
        </w:rPr>
        <w:t>Of all of the colony-side missives</w:t>
      </w:r>
      <w:r w:rsidR="00016D80">
        <w:rPr>
          <w:rFonts w:ascii="Times" w:hAnsi="Times"/>
        </w:rPr>
        <w:t xml:space="preserve"> gathered in </w:t>
      </w:r>
      <w:r w:rsidR="00016D80">
        <w:rPr>
          <w:rFonts w:ascii="Times" w:hAnsi="Times"/>
          <w:i/>
        </w:rPr>
        <w:t>Colony</w:t>
      </w:r>
      <w:r w:rsidR="00D636E1">
        <w:rPr>
          <w:rFonts w:ascii="Times" w:hAnsi="Times"/>
        </w:rPr>
        <w:t xml:space="preserve">, </w:t>
      </w:r>
      <w:r w:rsidR="00E83A16">
        <w:rPr>
          <w:rFonts w:ascii="Times" w:hAnsi="Times"/>
        </w:rPr>
        <w:t>only two</w:t>
      </w:r>
      <w:r w:rsidR="009B0C1B">
        <w:rPr>
          <w:rFonts w:ascii="Times" w:hAnsi="Times"/>
        </w:rPr>
        <w:t xml:space="preserve"> </w:t>
      </w:r>
      <w:r w:rsidR="00A66958">
        <w:rPr>
          <w:rFonts w:ascii="Times" w:hAnsi="Times"/>
        </w:rPr>
        <w:t>address</w:t>
      </w:r>
      <w:r w:rsidR="00D636E1">
        <w:rPr>
          <w:rFonts w:ascii="Times" w:hAnsi="Times"/>
        </w:rPr>
        <w:t xml:space="preserve"> </w:t>
      </w:r>
      <w:r w:rsidR="00490381">
        <w:rPr>
          <w:rFonts w:ascii="Times" w:hAnsi="Times"/>
        </w:rPr>
        <w:t>the enslaved</w:t>
      </w:r>
      <w:r w:rsidR="00F708E2">
        <w:rPr>
          <w:rFonts w:ascii="Times" w:eastAsia="Times New Roman" w:hAnsi="Times" w:cs="Times New Roman"/>
        </w:rPr>
        <w:t xml:space="preserve">, although a helpful linked article suggests that </w:t>
      </w:r>
      <w:r w:rsidR="002B1C38">
        <w:rPr>
          <w:rFonts w:ascii="Times" w:eastAsia="Times New Roman" w:hAnsi="Times" w:cs="Times New Roman"/>
        </w:rPr>
        <w:t xml:space="preserve">other petitions </w:t>
      </w:r>
      <w:r w:rsidR="00F708E2">
        <w:rPr>
          <w:rFonts w:ascii="Times" w:eastAsia="Times New Roman" w:hAnsi="Times" w:cs="Times New Roman"/>
        </w:rPr>
        <w:t xml:space="preserve">often did, in </w:t>
      </w:r>
      <w:r w:rsidR="002B1C38">
        <w:rPr>
          <w:rFonts w:ascii="Times" w:eastAsia="Times New Roman" w:hAnsi="Times" w:cs="Times New Roman"/>
        </w:rPr>
        <w:t>a nakedly utilitarian manner</w:t>
      </w:r>
      <w:r w:rsidR="00F708E2">
        <w:rPr>
          <w:rFonts w:ascii="Times" w:eastAsia="Times New Roman" w:hAnsi="Times" w:cs="Times New Roman"/>
        </w:rPr>
        <w:t>.</w:t>
      </w:r>
      <w:r w:rsidR="00F708E2">
        <w:rPr>
          <w:rStyle w:val="FootnoteReference"/>
          <w:rFonts w:ascii="Times" w:eastAsia="Times New Roman" w:hAnsi="Times" w:cs="Times New Roman"/>
        </w:rPr>
        <w:footnoteReference w:id="5"/>
      </w:r>
      <w:r w:rsidR="009B0C1B">
        <w:rPr>
          <w:rFonts w:ascii="Times" w:hAnsi="Times"/>
        </w:rPr>
        <w:t xml:space="preserve"> </w:t>
      </w:r>
      <w:r w:rsidR="00EF065A" w:rsidRPr="00EF065A">
        <w:rPr>
          <w:rFonts w:ascii="Times" w:hAnsi="Times"/>
          <w:i/>
        </w:rPr>
        <w:t>Colony</w:t>
      </w:r>
      <w:r w:rsidR="00EF065A">
        <w:rPr>
          <w:rFonts w:ascii="Times" w:hAnsi="Times"/>
        </w:rPr>
        <w:t>’s h</w:t>
      </w:r>
      <w:r w:rsidR="000E2E17" w:rsidRPr="00EF065A">
        <w:rPr>
          <w:rFonts w:ascii="Times" w:hAnsi="Times"/>
        </w:rPr>
        <w:t>exagonal</w:t>
      </w:r>
      <w:r w:rsidR="000E2E17">
        <w:rPr>
          <w:rFonts w:ascii="Times" w:hAnsi="Times"/>
        </w:rPr>
        <w:t xml:space="preserve"> authors </w:t>
      </w:r>
      <w:r w:rsidR="00373797">
        <w:rPr>
          <w:rFonts w:ascii="Times" w:hAnsi="Times"/>
        </w:rPr>
        <w:t xml:space="preserve">also </w:t>
      </w:r>
      <w:r w:rsidR="003B0272">
        <w:rPr>
          <w:rFonts w:ascii="Times" w:hAnsi="Times"/>
        </w:rPr>
        <w:t>take</w:t>
      </w:r>
      <w:r w:rsidR="00373797">
        <w:rPr>
          <w:rFonts w:ascii="Times" w:hAnsi="Times"/>
        </w:rPr>
        <w:t xml:space="preserve"> </w:t>
      </w:r>
      <w:r w:rsidR="00E02BC1">
        <w:rPr>
          <w:rFonts w:ascii="Times" w:hAnsi="Times"/>
        </w:rPr>
        <w:t xml:space="preserve">only </w:t>
      </w:r>
      <w:r w:rsidR="00373797">
        <w:rPr>
          <w:rFonts w:ascii="Times" w:hAnsi="Times"/>
        </w:rPr>
        <w:t>a passing stab</w:t>
      </w:r>
      <w:r w:rsidR="007E3A2F">
        <w:rPr>
          <w:rFonts w:ascii="Times" w:hAnsi="Times"/>
        </w:rPr>
        <w:t xml:space="preserve"> at</w:t>
      </w:r>
      <w:r w:rsidR="00E91EEC">
        <w:rPr>
          <w:rFonts w:ascii="Times" w:hAnsi="Times"/>
        </w:rPr>
        <w:t xml:space="preserve"> addressing</w:t>
      </w:r>
      <w:r w:rsidR="007E3A2F">
        <w:rPr>
          <w:rFonts w:ascii="Times" w:hAnsi="Times"/>
        </w:rPr>
        <w:t xml:space="preserve"> </w:t>
      </w:r>
      <w:r w:rsidR="000C7653">
        <w:rPr>
          <w:rFonts w:ascii="Times" w:hAnsi="Times"/>
        </w:rPr>
        <w:t>slave provisions</w:t>
      </w:r>
      <w:r w:rsidR="006E1579">
        <w:rPr>
          <w:rFonts w:ascii="Times" w:hAnsi="Times"/>
        </w:rPr>
        <w:t xml:space="preserve"> in their</w:t>
      </w:r>
      <w:r w:rsidR="00E02BC1">
        <w:rPr>
          <w:rFonts w:ascii="Times" w:hAnsi="Times"/>
        </w:rPr>
        <w:t xml:space="preserve"> grain</w:t>
      </w:r>
      <w:r w:rsidR="000B691A">
        <w:rPr>
          <w:rFonts w:ascii="Times" w:hAnsi="Times"/>
        </w:rPr>
        <w:t xml:space="preserve"> trade</w:t>
      </w:r>
      <w:r w:rsidR="00E02BC1">
        <w:rPr>
          <w:rFonts w:ascii="Times" w:hAnsi="Times"/>
        </w:rPr>
        <w:t xml:space="preserve"> debate</w:t>
      </w:r>
      <w:r w:rsidR="000C7653">
        <w:rPr>
          <w:rFonts w:ascii="Times" w:hAnsi="Times"/>
        </w:rPr>
        <w:t>.</w:t>
      </w:r>
      <w:r w:rsidR="00E53413">
        <w:rPr>
          <w:rFonts w:ascii="Times" w:hAnsi="Times"/>
        </w:rPr>
        <w:t xml:space="preserve"> </w:t>
      </w:r>
      <w:r w:rsidR="007F3D0D">
        <w:rPr>
          <w:rFonts w:ascii="Times" w:eastAsia="Times New Roman" w:hAnsi="Times" w:cs="Times New Roman"/>
        </w:rPr>
        <w:t>Only one</w:t>
      </w:r>
      <w:r w:rsidR="009B0C1B">
        <w:rPr>
          <w:rFonts w:ascii="Times" w:eastAsia="Times New Roman" w:hAnsi="Times" w:cs="Times New Roman"/>
        </w:rPr>
        <w:t xml:space="preserve"> pamphlet</w:t>
      </w:r>
      <w:r w:rsidR="00830993" w:rsidRPr="006245B7">
        <w:rPr>
          <w:rFonts w:ascii="Times" w:eastAsia="Times New Roman" w:hAnsi="Times" w:cs="Times New Roman"/>
        </w:rPr>
        <w:t xml:space="preserve"> offer</w:t>
      </w:r>
      <w:r w:rsidR="009B0C1B">
        <w:rPr>
          <w:rFonts w:ascii="Times" w:eastAsia="Times New Roman" w:hAnsi="Times" w:cs="Times New Roman"/>
        </w:rPr>
        <w:t>s</w:t>
      </w:r>
      <w:r w:rsidR="00830993" w:rsidRPr="006245B7">
        <w:rPr>
          <w:rFonts w:ascii="Times" w:eastAsia="Times New Roman" w:hAnsi="Times" w:cs="Times New Roman"/>
        </w:rPr>
        <w:t xml:space="preserve"> </w:t>
      </w:r>
      <w:r w:rsidR="006D344A">
        <w:rPr>
          <w:rFonts w:ascii="Times" w:eastAsia="Times New Roman" w:hAnsi="Times" w:cs="Times New Roman"/>
        </w:rPr>
        <w:t>imprecise</w:t>
      </w:r>
      <w:r w:rsidR="00830993" w:rsidRPr="006245B7">
        <w:rPr>
          <w:rFonts w:ascii="Times" w:eastAsia="Times New Roman" w:hAnsi="Times" w:cs="Times New Roman"/>
        </w:rPr>
        <w:t xml:space="preserve"> estimates of the number of enslaved working on coffee plantations, arguing (speciously) that food production</w:t>
      </w:r>
      <w:r w:rsidR="001C5A0A">
        <w:rPr>
          <w:rFonts w:ascii="Times" w:eastAsia="Times New Roman" w:hAnsi="Times" w:cs="Times New Roman"/>
        </w:rPr>
        <w:t xml:space="preserve"> there</w:t>
      </w:r>
      <w:r w:rsidR="00830993" w:rsidRPr="006245B7">
        <w:rPr>
          <w:rFonts w:ascii="Times" w:eastAsia="Times New Roman" w:hAnsi="Times" w:cs="Times New Roman"/>
        </w:rPr>
        <w:t xml:space="preserve"> adequately supplied individuals enslaved on sugar plantations (a number they </w:t>
      </w:r>
      <w:r w:rsidR="00943C66">
        <w:rPr>
          <w:rFonts w:ascii="Times" w:eastAsia="Times New Roman" w:hAnsi="Times" w:cs="Times New Roman"/>
        </w:rPr>
        <w:t xml:space="preserve">in turn </w:t>
      </w:r>
      <w:r w:rsidR="006245B7">
        <w:rPr>
          <w:rFonts w:ascii="Times" w:eastAsia="Times New Roman" w:hAnsi="Times" w:cs="Times New Roman"/>
        </w:rPr>
        <w:t>minimized</w:t>
      </w:r>
      <w:r w:rsidR="00830993" w:rsidRPr="006245B7">
        <w:rPr>
          <w:rFonts w:ascii="Times" w:eastAsia="Times New Roman" w:hAnsi="Times" w:cs="Times New Roman"/>
        </w:rPr>
        <w:t xml:space="preserve">).  </w:t>
      </w:r>
      <w:r w:rsidR="003147E1">
        <w:rPr>
          <w:rFonts w:ascii="Times" w:eastAsia="Times New Roman" w:hAnsi="Times" w:cs="Times New Roman"/>
        </w:rPr>
        <w:t>The author</w:t>
      </w:r>
      <w:r w:rsidR="009B0C1B">
        <w:rPr>
          <w:rFonts w:ascii="Times" w:eastAsia="Times New Roman" w:hAnsi="Times" w:cs="Times New Roman"/>
        </w:rPr>
        <w:t>s</w:t>
      </w:r>
      <w:r w:rsidR="003147E1">
        <w:rPr>
          <w:rFonts w:ascii="Times" w:eastAsia="Times New Roman" w:hAnsi="Times" w:cs="Times New Roman"/>
        </w:rPr>
        <w:t>’</w:t>
      </w:r>
      <w:r w:rsidR="00B1034C">
        <w:rPr>
          <w:rFonts w:ascii="Times" w:eastAsia="Times New Roman" w:hAnsi="Times" w:cs="Times New Roman"/>
        </w:rPr>
        <w:t xml:space="preserve"> putative</w:t>
      </w:r>
      <w:r w:rsidR="00664AFF">
        <w:rPr>
          <w:rFonts w:ascii="Times" w:eastAsia="Times New Roman" w:hAnsi="Times" w:cs="Times New Roman"/>
        </w:rPr>
        <w:t xml:space="preserve"> n</w:t>
      </w:r>
      <w:r w:rsidR="00830993" w:rsidRPr="006245B7">
        <w:rPr>
          <w:rFonts w:ascii="Times" w:eastAsia="Times New Roman" w:hAnsi="Times" w:cs="Times New Roman"/>
        </w:rPr>
        <w:t xml:space="preserve">umeracy </w:t>
      </w:r>
      <w:r w:rsidR="00777D62">
        <w:rPr>
          <w:rFonts w:ascii="Times" w:eastAsia="Times New Roman" w:hAnsi="Times" w:cs="Times New Roman"/>
        </w:rPr>
        <w:t>serves</w:t>
      </w:r>
      <w:r w:rsidR="00830993" w:rsidRPr="006245B7">
        <w:rPr>
          <w:rFonts w:ascii="Times" w:eastAsia="Times New Roman" w:hAnsi="Times" w:cs="Times New Roman"/>
        </w:rPr>
        <w:t xml:space="preserve"> only to mislead</w:t>
      </w:r>
      <w:r w:rsidR="00DC2050">
        <w:rPr>
          <w:rFonts w:ascii="Times" w:eastAsia="Times New Roman" w:hAnsi="Times" w:cs="Times New Roman"/>
        </w:rPr>
        <w:t>, and other France-side writers</w:t>
      </w:r>
      <w:r w:rsidR="00CA735D">
        <w:rPr>
          <w:rFonts w:ascii="Times" w:eastAsia="Times New Roman" w:hAnsi="Times" w:cs="Times New Roman"/>
        </w:rPr>
        <w:t xml:space="preserve"> </w:t>
      </w:r>
      <w:r w:rsidR="007B39FA">
        <w:rPr>
          <w:rFonts w:ascii="Times" w:eastAsia="Times New Roman" w:hAnsi="Times" w:cs="Times New Roman"/>
        </w:rPr>
        <w:t xml:space="preserve">reproduced in </w:t>
      </w:r>
      <w:r w:rsidR="007B39FA">
        <w:rPr>
          <w:rFonts w:ascii="Times" w:eastAsia="Times New Roman" w:hAnsi="Times" w:cs="Times New Roman"/>
          <w:i/>
        </w:rPr>
        <w:t>Colony</w:t>
      </w:r>
      <w:r w:rsidR="00DC2050">
        <w:rPr>
          <w:rFonts w:ascii="Times" w:eastAsia="Times New Roman" w:hAnsi="Times" w:cs="Times New Roman"/>
        </w:rPr>
        <w:t xml:space="preserve"> avoid specifics altogether, </w:t>
      </w:r>
      <w:r w:rsidR="005C1EBA">
        <w:rPr>
          <w:rFonts w:ascii="Times" w:eastAsia="Times New Roman" w:hAnsi="Times" w:cs="Times New Roman"/>
        </w:rPr>
        <w:t xml:space="preserve">evidently </w:t>
      </w:r>
      <w:r w:rsidR="00DC2050">
        <w:rPr>
          <w:rFonts w:ascii="Times" w:eastAsia="Times New Roman" w:hAnsi="Times" w:cs="Times New Roman"/>
        </w:rPr>
        <w:t xml:space="preserve">not </w:t>
      </w:r>
      <w:r w:rsidR="005C1EBA">
        <w:rPr>
          <w:rFonts w:ascii="Times" w:eastAsia="Times New Roman" w:hAnsi="Times" w:cs="Times New Roman"/>
        </w:rPr>
        <w:t>out of</w:t>
      </w:r>
      <w:r w:rsidR="00B03BC6">
        <w:rPr>
          <w:rFonts w:ascii="Times" w:eastAsia="Times New Roman" w:hAnsi="Times" w:cs="Times New Roman"/>
        </w:rPr>
        <w:t xml:space="preserve"> yet</w:t>
      </w:r>
      <w:r w:rsidR="00DC2050">
        <w:rPr>
          <w:rFonts w:ascii="Times" w:eastAsia="Times New Roman" w:hAnsi="Times" w:cs="Times New Roman"/>
        </w:rPr>
        <w:t xml:space="preserve"> another instance of </w:t>
      </w:r>
      <w:r w:rsidR="00B469FB">
        <w:rPr>
          <w:rFonts w:ascii="Times" w:eastAsia="Times New Roman" w:hAnsi="Times" w:cs="Times New Roman"/>
        </w:rPr>
        <w:t>willful</w:t>
      </w:r>
      <w:r w:rsidR="00DC2050">
        <w:rPr>
          <w:rFonts w:ascii="Times" w:eastAsia="Times New Roman" w:hAnsi="Times" w:cs="Times New Roman"/>
        </w:rPr>
        <w:t xml:space="preserve"> </w:t>
      </w:r>
      <w:r w:rsidR="00DC2050">
        <w:rPr>
          <w:rFonts w:ascii="Times" w:eastAsia="Times New Roman" w:hAnsi="Times" w:cs="Times New Roman"/>
        </w:rPr>
        <w:lastRenderedPageBreak/>
        <w:t>dehumanization, but because enslaved men, women, and children were not consuming these grains at all</w:t>
      </w:r>
      <w:r w:rsidR="00830993" w:rsidRPr="006245B7">
        <w:rPr>
          <w:rFonts w:ascii="Times" w:eastAsia="Times New Roman" w:hAnsi="Times" w:cs="Times New Roman"/>
        </w:rPr>
        <w:t>.</w:t>
      </w:r>
      <w:r w:rsidR="0074783D" w:rsidRPr="00485C61">
        <w:rPr>
          <w:rStyle w:val="FootnoteReference"/>
          <w:rFonts w:ascii="Times" w:eastAsia="Times New Roman" w:hAnsi="Times" w:cs="Times New Roman"/>
        </w:rPr>
        <w:footnoteReference w:id="6"/>
      </w:r>
      <w:r w:rsidR="00BF3597">
        <w:rPr>
          <w:rFonts w:ascii="Times" w:eastAsia="Times New Roman" w:hAnsi="Times" w:cs="Times New Roman"/>
        </w:rPr>
        <w:t xml:space="preserve"> </w:t>
      </w:r>
      <w:r w:rsidR="00A64D21">
        <w:rPr>
          <w:rFonts w:ascii="Times" w:eastAsia="Times New Roman" w:hAnsi="Times" w:cs="Times New Roman"/>
        </w:rPr>
        <w:t xml:space="preserve"> </w:t>
      </w:r>
      <w:r w:rsidR="004C3B2A">
        <w:rPr>
          <w:rFonts w:ascii="Times" w:hAnsi="Times"/>
        </w:rPr>
        <w:t xml:space="preserve">Colony-side writers </w:t>
      </w:r>
      <w:r w:rsidR="00B3703E">
        <w:rPr>
          <w:rFonts w:ascii="Times" w:hAnsi="Times"/>
        </w:rPr>
        <w:t>admitted</w:t>
      </w:r>
      <w:r w:rsidR="00F708E2">
        <w:rPr>
          <w:rFonts w:ascii="Times" w:hAnsi="Times"/>
        </w:rPr>
        <w:t xml:space="preserve"> as how the enslaved were not receiving these grain foodstuffs </w:t>
      </w:r>
      <w:r w:rsidR="004C3B2A">
        <w:rPr>
          <w:rFonts w:ascii="Times" w:hAnsi="Times"/>
        </w:rPr>
        <w:t xml:space="preserve">and </w:t>
      </w:r>
      <w:r w:rsidR="00E209DD">
        <w:rPr>
          <w:rFonts w:ascii="Times" w:hAnsi="Times"/>
        </w:rPr>
        <w:t xml:space="preserve">blandly </w:t>
      </w:r>
      <w:r w:rsidR="004C3B2A">
        <w:rPr>
          <w:rFonts w:ascii="Times" w:hAnsi="Times"/>
        </w:rPr>
        <w:t>suggested</w:t>
      </w:r>
      <w:r w:rsidR="00F708E2">
        <w:rPr>
          <w:rFonts w:ascii="Times" w:hAnsi="Times"/>
        </w:rPr>
        <w:t xml:space="preserve"> a meager allotment well out of proportion with their population</w:t>
      </w:r>
      <w:r w:rsidR="003B05DC">
        <w:rPr>
          <w:rFonts w:ascii="Times" w:hAnsi="Times"/>
        </w:rPr>
        <w:t xml:space="preserve"> in the course of their broader arguments</w:t>
      </w:r>
      <w:r w:rsidR="00F708E2">
        <w:rPr>
          <w:rFonts w:ascii="Times" w:hAnsi="Times"/>
        </w:rPr>
        <w:t>.</w:t>
      </w:r>
      <w:r w:rsidR="00F708E2">
        <w:rPr>
          <w:rStyle w:val="FootnoteReference"/>
          <w:rFonts w:ascii="Times" w:hAnsi="Times"/>
        </w:rPr>
        <w:footnoteReference w:id="7"/>
      </w:r>
      <w:r w:rsidR="00F708E2">
        <w:rPr>
          <w:rFonts w:ascii="Times" w:hAnsi="Times"/>
        </w:rPr>
        <w:t xml:space="preserve">  </w:t>
      </w:r>
    </w:p>
    <w:p w14:paraId="3A92A3D1" w14:textId="77777777" w:rsidR="00087FA4" w:rsidRDefault="00087FA4">
      <w:pPr>
        <w:rPr>
          <w:rFonts w:ascii="Times" w:eastAsia="Times New Roman" w:hAnsi="Times" w:cs="Times New Roman"/>
        </w:rPr>
      </w:pPr>
    </w:p>
    <w:p w14:paraId="69F48232" w14:textId="260F5C7F" w:rsidR="00661942" w:rsidRPr="009A61D6" w:rsidRDefault="00E63F94" w:rsidP="009C0E07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So, the crisis was not about food</w:t>
      </w:r>
      <w:r w:rsidR="00A265E2">
        <w:rPr>
          <w:rFonts w:ascii="Times" w:eastAsia="Times New Roman" w:hAnsi="Times" w:cs="Times New Roman"/>
        </w:rPr>
        <w:t>stuffs</w:t>
      </w:r>
      <w:r w:rsidR="007764EC">
        <w:rPr>
          <w:rFonts w:ascii="Times" w:eastAsia="Times New Roman" w:hAnsi="Times" w:cs="Times New Roman"/>
        </w:rPr>
        <w:t xml:space="preserve"> </w:t>
      </w:r>
      <w:r w:rsidR="00C525FD">
        <w:rPr>
          <w:rFonts w:ascii="Times" w:eastAsia="Times New Roman" w:hAnsi="Times" w:cs="Times New Roman"/>
        </w:rPr>
        <w:t>in any substantive way</w:t>
      </w:r>
      <w:r>
        <w:rPr>
          <w:rFonts w:ascii="Times" w:eastAsia="Times New Roman" w:hAnsi="Times" w:cs="Times New Roman"/>
        </w:rPr>
        <w:t xml:space="preserve">, </w:t>
      </w:r>
      <w:r w:rsidR="007764EC">
        <w:rPr>
          <w:rFonts w:ascii="Times" w:eastAsia="Times New Roman" w:hAnsi="Times" w:cs="Times New Roman"/>
        </w:rPr>
        <w:t>even if</w:t>
      </w:r>
      <w:r w:rsidR="006707CB">
        <w:rPr>
          <w:rFonts w:ascii="Times" w:eastAsia="Times New Roman" w:hAnsi="Times" w:cs="Times New Roman"/>
        </w:rPr>
        <w:t xml:space="preserve"> the</w:t>
      </w:r>
      <w:r>
        <w:rPr>
          <w:rFonts w:ascii="Times" w:eastAsia="Times New Roman" w:hAnsi="Times" w:cs="Times New Roman"/>
        </w:rPr>
        <w:t xml:space="preserve"> </w:t>
      </w:r>
      <w:r w:rsidR="00A84955">
        <w:rPr>
          <w:rFonts w:ascii="Times" w:eastAsia="Times New Roman" w:hAnsi="Times" w:cs="Times New Roman"/>
        </w:rPr>
        <w:t xml:space="preserve">corruption, </w:t>
      </w:r>
      <w:r>
        <w:rPr>
          <w:rFonts w:ascii="Times" w:eastAsia="Times New Roman" w:hAnsi="Times" w:cs="Times New Roman"/>
        </w:rPr>
        <w:t>hoarding</w:t>
      </w:r>
      <w:r w:rsidR="00A84955">
        <w:rPr>
          <w:rFonts w:ascii="Times" w:eastAsia="Times New Roman" w:hAnsi="Times" w:cs="Times New Roman"/>
        </w:rPr>
        <w:t>,</w:t>
      </w:r>
      <w:r>
        <w:rPr>
          <w:rFonts w:ascii="Times" w:eastAsia="Times New Roman" w:hAnsi="Times" w:cs="Times New Roman"/>
        </w:rPr>
        <w:t xml:space="preserve"> and monopolies </w:t>
      </w:r>
      <w:r w:rsidR="006707CB">
        <w:rPr>
          <w:rFonts w:ascii="Times" w:eastAsia="Times New Roman" w:hAnsi="Times" w:cs="Times New Roman"/>
        </w:rPr>
        <w:t>of</w:t>
      </w:r>
      <w:r>
        <w:rPr>
          <w:rFonts w:ascii="Times" w:eastAsia="Times New Roman" w:hAnsi="Times" w:cs="Times New Roman"/>
        </w:rPr>
        <w:t xml:space="preserve"> </w:t>
      </w:r>
      <w:r w:rsidR="00F27AB3">
        <w:rPr>
          <w:rFonts w:ascii="Times" w:eastAsia="Times New Roman" w:hAnsi="Times" w:cs="Times New Roman"/>
        </w:rPr>
        <w:t>high-level merchants and the intendant</w:t>
      </w:r>
      <w:r>
        <w:rPr>
          <w:rFonts w:ascii="Times" w:eastAsia="Times New Roman" w:hAnsi="Times" w:cs="Times New Roman"/>
        </w:rPr>
        <w:t xml:space="preserve"> might have made planters feel frustrated and even, at some extreme, </w:t>
      </w:r>
      <w:r w:rsidR="007D7409">
        <w:rPr>
          <w:rFonts w:ascii="Times" w:eastAsia="Times New Roman" w:hAnsi="Times" w:cs="Times New Roman"/>
        </w:rPr>
        <w:t xml:space="preserve">temporarily </w:t>
      </w:r>
      <w:r>
        <w:rPr>
          <w:rFonts w:ascii="Times" w:eastAsia="Times New Roman" w:hAnsi="Times" w:cs="Times New Roman"/>
        </w:rPr>
        <w:t>food insecure</w:t>
      </w:r>
      <w:r w:rsidR="00533E37">
        <w:rPr>
          <w:rFonts w:ascii="Times" w:eastAsia="Times New Roman" w:hAnsi="Times" w:cs="Times New Roman"/>
        </w:rPr>
        <w:t xml:space="preserve"> for </w:t>
      </w:r>
      <w:r w:rsidR="0023070E">
        <w:rPr>
          <w:rFonts w:ascii="Times" w:eastAsia="Times New Roman" w:hAnsi="Times" w:cs="Times New Roman"/>
        </w:rPr>
        <w:t xml:space="preserve">their own </w:t>
      </w:r>
      <w:r w:rsidR="00EB0B60">
        <w:rPr>
          <w:rFonts w:ascii="Times" w:eastAsia="Times New Roman" w:hAnsi="Times" w:cs="Times New Roman"/>
        </w:rPr>
        <w:t>households</w:t>
      </w:r>
      <w:r>
        <w:rPr>
          <w:rFonts w:ascii="Times" w:eastAsia="Times New Roman" w:hAnsi="Times" w:cs="Times New Roman"/>
        </w:rPr>
        <w:t xml:space="preserve">. </w:t>
      </w:r>
      <w:r w:rsidR="008929F1">
        <w:rPr>
          <w:rFonts w:ascii="Times" w:eastAsia="Times New Roman" w:hAnsi="Times" w:cs="Times New Roman"/>
        </w:rPr>
        <w:t xml:space="preserve"> Instead, </w:t>
      </w:r>
      <w:r w:rsidR="00494E5A">
        <w:rPr>
          <w:rFonts w:ascii="Times" w:eastAsia="Times New Roman" w:hAnsi="Times" w:cs="Times New Roman"/>
        </w:rPr>
        <w:t>planters use</w:t>
      </w:r>
      <w:r w:rsidR="008D2AAA">
        <w:rPr>
          <w:rFonts w:ascii="Times" w:eastAsia="Times New Roman" w:hAnsi="Times" w:cs="Times New Roman"/>
        </w:rPr>
        <w:t>d the moment</w:t>
      </w:r>
      <w:r w:rsidR="00494E5A">
        <w:rPr>
          <w:rFonts w:ascii="Times" w:eastAsia="Times New Roman" w:hAnsi="Times" w:cs="Times New Roman"/>
        </w:rPr>
        <w:t xml:space="preserve"> as a flashpoint to try</w:t>
      </w:r>
      <w:r w:rsidR="000C5BF6">
        <w:rPr>
          <w:rFonts w:ascii="Times" w:eastAsia="Times New Roman" w:hAnsi="Times" w:cs="Times New Roman"/>
        </w:rPr>
        <w:t xml:space="preserve"> to </w:t>
      </w:r>
      <w:r w:rsidR="00930006">
        <w:rPr>
          <w:rFonts w:ascii="Times" w:eastAsia="Times New Roman" w:hAnsi="Times" w:cs="Times New Roman"/>
        </w:rPr>
        <w:t xml:space="preserve">break France’s economic monopoly and engage in </w:t>
      </w:r>
      <w:r w:rsidR="000C5BF6">
        <w:rPr>
          <w:rFonts w:ascii="Times" w:eastAsia="Times New Roman" w:hAnsi="Times" w:cs="Times New Roman"/>
        </w:rPr>
        <w:t>regional trade</w:t>
      </w:r>
      <w:r w:rsidR="0052137F">
        <w:rPr>
          <w:rFonts w:ascii="Times" w:eastAsia="Times New Roman" w:hAnsi="Times" w:cs="Times New Roman"/>
        </w:rPr>
        <w:t xml:space="preserve">, </w:t>
      </w:r>
      <w:r w:rsidR="009757EB">
        <w:rPr>
          <w:rFonts w:ascii="Times" w:eastAsia="Times New Roman" w:hAnsi="Times" w:cs="Times New Roman"/>
        </w:rPr>
        <w:t>not only</w:t>
      </w:r>
      <w:r w:rsidR="0052137F">
        <w:rPr>
          <w:rFonts w:ascii="Times" w:eastAsia="Times New Roman" w:hAnsi="Times" w:cs="Times New Roman"/>
        </w:rPr>
        <w:t xml:space="preserve"> to seek </w:t>
      </w:r>
      <w:r w:rsidR="00364BF4">
        <w:rPr>
          <w:rFonts w:ascii="Times" w:eastAsia="Times New Roman" w:hAnsi="Times" w:cs="Times New Roman"/>
        </w:rPr>
        <w:t>nearby goods</w:t>
      </w:r>
      <w:r w:rsidR="0052137F">
        <w:rPr>
          <w:rFonts w:ascii="Times" w:eastAsia="Times New Roman" w:hAnsi="Times" w:cs="Times New Roman"/>
        </w:rPr>
        <w:t xml:space="preserve"> but also</w:t>
      </w:r>
      <w:r w:rsidR="00097D22">
        <w:rPr>
          <w:rFonts w:ascii="Times" w:eastAsia="Times New Roman" w:hAnsi="Times" w:cs="Times New Roman"/>
        </w:rPr>
        <w:t>, crucially, to benefit from an expanded market</w:t>
      </w:r>
      <w:r w:rsidR="0052137F">
        <w:rPr>
          <w:rFonts w:ascii="Times" w:eastAsia="Times New Roman" w:hAnsi="Times" w:cs="Times New Roman"/>
        </w:rPr>
        <w:t xml:space="preserve"> for Saint-Domingue’s cash crops</w:t>
      </w:r>
      <w:r w:rsidR="000C5BF6">
        <w:rPr>
          <w:rFonts w:ascii="Times" w:eastAsia="Times New Roman" w:hAnsi="Times" w:cs="Times New Roman"/>
        </w:rPr>
        <w:t>.</w:t>
      </w:r>
      <w:r w:rsidR="003F1B80">
        <w:rPr>
          <w:rFonts w:ascii="Times" w:eastAsia="Times New Roman" w:hAnsi="Times" w:cs="Times New Roman"/>
        </w:rPr>
        <w:t xml:space="preserve">  </w:t>
      </w:r>
      <w:r w:rsidR="005918D9">
        <w:rPr>
          <w:rFonts w:ascii="Times" w:eastAsia="Times New Roman" w:hAnsi="Times" w:cs="Times New Roman"/>
        </w:rPr>
        <w:t xml:space="preserve">Free ports, opened </w:t>
      </w:r>
      <w:r w:rsidR="00DD7C50">
        <w:rPr>
          <w:rFonts w:ascii="Times" w:eastAsia="Times New Roman" w:hAnsi="Times" w:cs="Times New Roman"/>
        </w:rPr>
        <w:t>through</w:t>
      </w:r>
      <w:r w:rsidR="005918D9">
        <w:rPr>
          <w:rFonts w:ascii="Times" w:eastAsia="Times New Roman" w:hAnsi="Times" w:cs="Times New Roman"/>
        </w:rPr>
        <w:t xml:space="preserve"> the guise </w:t>
      </w:r>
      <w:r w:rsidR="00206989">
        <w:rPr>
          <w:rFonts w:ascii="Times" w:eastAsia="Times New Roman" w:hAnsi="Times" w:cs="Times New Roman"/>
        </w:rPr>
        <w:t>of</w:t>
      </w:r>
      <w:r w:rsidR="005918D9">
        <w:rPr>
          <w:rFonts w:ascii="Times" w:eastAsia="Times New Roman" w:hAnsi="Times" w:cs="Times New Roman"/>
        </w:rPr>
        <w:t xml:space="preserve"> </w:t>
      </w:r>
      <w:r w:rsidR="00E649C4">
        <w:rPr>
          <w:rFonts w:ascii="Times" w:eastAsia="Times New Roman" w:hAnsi="Times" w:cs="Times New Roman"/>
        </w:rPr>
        <w:t>supply trade</w:t>
      </w:r>
      <w:r w:rsidR="003F1B80">
        <w:rPr>
          <w:rFonts w:ascii="Times" w:eastAsia="Times New Roman" w:hAnsi="Times" w:cs="Times New Roman"/>
        </w:rPr>
        <w:t>, would have unleashed Dominguan coffee and sugar to eager nearby markets, p</w:t>
      </w:r>
      <w:r w:rsidR="00DD7C50">
        <w:rPr>
          <w:rFonts w:ascii="Times" w:eastAsia="Times New Roman" w:hAnsi="Times" w:cs="Times New Roman"/>
        </w:rPr>
        <w:t xml:space="preserve">articularly </w:t>
      </w:r>
      <w:r w:rsidR="00E33A67">
        <w:rPr>
          <w:rFonts w:ascii="Times" w:eastAsia="Times New Roman" w:hAnsi="Times" w:cs="Times New Roman"/>
        </w:rPr>
        <w:t>the</w:t>
      </w:r>
      <w:r w:rsidR="00DD7C50">
        <w:rPr>
          <w:rFonts w:ascii="Times" w:eastAsia="Times New Roman" w:hAnsi="Times" w:cs="Times New Roman"/>
        </w:rPr>
        <w:t xml:space="preserve"> United States, and th</w:t>
      </w:r>
      <w:r w:rsidR="00655628">
        <w:rPr>
          <w:rFonts w:ascii="Times" w:eastAsia="Times New Roman" w:hAnsi="Times" w:cs="Times New Roman"/>
        </w:rPr>
        <w:t>ey</w:t>
      </w:r>
      <w:r w:rsidR="003F1B80">
        <w:rPr>
          <w:rFonts w:ascii="Times" w:eastAsia="Times New Roman" w:hAnsi="Times" w:cs="Times New Roman"/>
        </w:rPr>
        <w:t xml:space="preserve"> would furthermore</w:t>
      </w:r>
      <w:r w:rsidR="00DE43A4">
        <w:rPr>
          <w:rFonts w:ascii="Times" w:eastAsia="Times New Roman" w:hAnsi="Times" w:cs="Times New Roman"/>
        </w:rPr>
        <w:t xml:space="preserve"> easily have concealed trade in many other </w:t>
      </w:r>
      <w:r w:rsidR="00A724FC">
        <w:rPr>
          <w:rFonts w:ascii="Times" w:eastAsia="Times New Roman" w:hAnsi="Times" w:cs="Times New Roman"/>
        </w:rPr>
        <w:t>products.</w:t>
      </w:r>
      <w:r w:rsidR="009C0E07">
        <w:rPr>
          <w:rFonts w:ascii="Times" w:eastAsia="Times New Roman" w:hAnsi="Times" w:cs="Times New Roman"/>
        </w:rPr>
        <w:t xml:space="preserve"> </w:t>
      </w:r>
      <w:r w:rsidR="006F0E85">
        <w:rPr>
          <w:rFonts w:ascii="Times" w:eastAsia="Times New Roman" w:hAnsi="Times" w:cs="Times New Roman"/>
        </w:rPr>
        <w:t xml:space="preserve">American flour </w:t>
      </w:r>
      <w:r w:rsidR="00097814">
        <w:rPr>
          <w:rFonts w:ascii="Times" w:eastAsia="Times New Roman" w:hAnsi="Times" w:cs="Times New Roman"/>
        </w:rPr>
        <w:t>offered</w:t>
      </w:r>
      <w:r w:rsidR="006F0E85">
        <w:rPr>
          <w:rFonts w:ascii="Times" w:eastAsia="Times New Roman" w:hAnsi="Times" w:cs="Times New Roman"/>
        </w:rPr>
        <w:t xml:space="preserve"> a Troja</w:t>
      </w:r>
      <w:r w:rsidR="004E4AD5">
        <w:rPr>
          <w:rFonts w:ascii="Times" w:eastAsia="Times New Roman" w:hAnsi="Times" w:cs="Times New Roman"/>
        </w:rPr>
        <w:t xml:space="preserve">n vessel for reduced oversight.  </w:t>
      </w:r>
      <w:r w:rsidR="004E4AD5">
        <w:rPr>
          <w:rFonts w:ascii="Times" w:hAnsi="Times"/>
        </w:rPr>
        <w:t>D</w:t>
      </w:r>
      <w:r w:rsidR="00661942" w:rsidRPr="009C0E07">
        <w:rPr>
          <w:rFonts w:ascii="Times" w:hAnsi="Times"/>
        </w:rPr>
        <w:t xml:space="preserve">eregulation would have </w:t>
      </w:r>
      <w:r w:rsidR="009C0E07">
        <w:rPr>
          <w:rFonts w:ascii="Times" w:hAnsi="Times"/>
        </w:rPr>
        <w:t xml:space="preserve">had </w:t>
      </w:r>
      <w:r w:rsidR="00661942" w:rsidRPr="009C0E07">
        <w:rPr>
          <w:rFonts w:ascii="Times" w:hAnsi="Times"/>
        </w:rPr>
        <w:t>widespread effects, includi</w:t>
      </w:r>
      <w:r w:rsidR="00EB3917">
        <w:rPr>
          <w:rFonts w:ascii="Times" w:hAnsi="Times"/>
        </w:rPr>
        <w:t>ng diminished importance of F</w:t>
      </w:r>
      <w:r w:rsidR="00661942" w:rsidRPr="009C0E07">
        <w:rPr>
          <w:rFonts w:ascii="Times" w:hAnsi="Times"/>
        </w:rPr>
        <w:t>rance</w:t>
      </w:r>
      <w:r w:rsidR="004463B9">
        <w:rPr>
          <w:rFonts w:ascii="Times" w:hAnsi="Times"/>
        </w:rPr>
        <w:t xml:space="preserve">, as the </w:t>
      </w:r>
      <w:r w:rsidR="005D7ED1">
        <w:rPr>
          <w:rFonts w:ascii="Times" w:hAnsi="Times"/>
        </w:rPr>
        <w:t>pamphleteers</w:t>
      </w:r>
      <w:r w:rsidR="004463B9">
        <w:rPr>
          <w:rFonts w:ascii="Times" w:hAnsi="Times"/>
        </w:rPr>
        <w:t xml:space="preserve"> </w:t>
      </w:r>
      <w:r w:rsidR="005D7ED1">
        <w:rPr>
          <w:rFonts w:ascii="Times" w:hAnsi="Times"/>
        </w:rPr>
        <w:t>acknowledged</w:t>
      </w:r>
      <w:r w:rsidR="004463B9">
        <w:rPr>
          <w:rFonts w:ascii="Times" w:hAnsi="Times"/>
        </w:rPr>
        <w:t>.</w:t>
      </w:r>
      <w:r w:rsidR="00661942">
        <w:rPr>
          <w:rStyle w:val="FootnoteReference"/>
          <w:rFonts w:ascii="Times" w:hAnsi="Times"/>
        </w:rPr>
        <w:footnoteReference w:id="8"/>
      </w:r>
      <w:r w:rsidR="009A61D6">
        <w:rPr>
          <w:rFonts w:ascii="Times" w:hAnsi="Times"/>
        </w:rPr>
        <w:t xml:space="preserve">  Both </w:t>
      </w:r>
      <w:r w:rsidR="00400439">
        <w:rPr>
          <w:rFonts w:ascii="Times" w:hAnsi="Times"/>
        </w:rPr>
        <w:t>elite groups</w:t>
      </w:r>
      <w:r w:rsidR="009A61D6">
        <w:rPr>
          <w:rFonts w:ascii="Times" w:hAnsi="Times"/>
        </w:rPr>
        <w:t xml:space="preserve"> were frustrated with each other, and </w:t>
      </w:r>
      <w:r w:rsidR="009A61D6">
        <w:rPr>
          <w:rFonts w:ascii="Times" w:hAnsi="Times"/>
          <w:i/>
        </w:rPr>
        <w:t>Colony</w:t>
      </w:r>
      <w:r w:rsidR="009A61D6">
        <w:rPr>
          <w:rFonts w:ascii="Times" w:hAnsi="Times"/>
        </w:rPr>
        <w:t xml:space="preserve">’s point-counterpoint structure helps users understand the intransigence of each position, even a few months after revolutionary fighting </w:t>
      </w:r>
      <w:r w:rsidR="005D4153">
        <w:rPr>
          <w:rFonts w:ascii="Times" w:hAnsi="Times"/>
        </w:rPr>
        <w:t>bega</w:t>
      </w:r>
      <w:r w:rsidR="009A61D6">
        <w:rPr>
          <w:rFonts w:ascii="Times" w:hAnsi="Times"/>
        </w:rPr>
        <w:t>n on French soil.</w:t>
      </w:r>
      <w:r w:rsidR="005D4153">
        <w:rPr>
          <w:rStyle w:val="FootnoteReference"/>
          <w:rFonts w:ascii="Times" w:eastAsia="Times New Roman" w:hAnsi="Times" w:cs="Times New Roman"/>
        </w:rPr>
        <w:footnoteReference w:id="9"/>
      </w:r>
      <w:r w:rsidR="0009466F">
        <w:rPr>
          <w:rFonts w:ascii="Times" w:hAnsi="Times"/>
        </w:rPr>
        <w:t xml:space="preserve">  Fra</w:t>
      </w:r>
      <w:r w:rsidR="0028767B">
        <w:rPr>
          <w:rFonts w:ascii="Times" w:hAnsi="Times"/>
        </w:rPr>
        <w:t>nce-based authors invoked inter</w:t>
      </w:r>
      <w:r w:rsidR="0009466F">
        <w:rPr>
          <w:rFonts w:ascii="Times" w:hAnsi="Times"/>
        </w:rPr>
        <w:t xml:space="preserve">imperial rivalry with Britain, even as colonial planters were </w:t>
      </w:r>
      <w:r w:rsidR="000C40BC">
        <w:rPr>
          <w:rFonts w:ascii="Times" w:hAnsi="Times"/>
        </w:rPr>
        <w:t xml:space="preserve">far </w:t>
      </w:r>
      <w:r w:rsidR="0009466F">
        <w:rPr>
          <w:rFonts w:ascii="Times" w:hAnsi="Times"/>
        </w:rPr>
        <w:t>more concerned with engagement to their immediate north, in the United States.</w:t>
      </w:r>
      <w:r w:rsidR="000C40BC">
        <w:rPr>
          <w:rStyle w:val="FootnoteReference"/>
          <w:rFonts w:ascii="Times" w:hAnsi="Times"/>
        </w:rPr>
        <w:footnoteReference w:id="10"/>
      </w:r>
    </w:p>
    <w:p w14:paraId="6E45EED7" w14:textId="77777777" w:rsidR="00C6186D" w:rsidRDefault="00C6186D" w:rsidP="00552710">
      <w:pPr>
        <w:rPr>
          <w:rFonts w:ascii="Times" w:hAnsi="Times"/>
        </w:rPr>
      </w:pPr>
    </w:p>
    <w:p w14:paraId="5185916B" w14:textId="156B84A7" w:rsidR="00204AA9" w:rsidRPr="00204AA9" w:rsidRDefault="008F5B27" w:rsidP="00204AA9">
      <w:pPr>
        <w:rPr>
          <w:rFonts w:ascii="Times" w:eastAsia="Times New Roman" w:hAnsi="Times" w:cs="Times New Roman"/>
        </w:rPr>
      </w:pPr>
      <w:r>
        <w:rPr>
          <w:rFonts w:ascii="Times" w:hAnsi="Times"/>
        </w:rPr>
        <w:t xml:space="preserve">Several documents selected for </w:t>
      </w:r>
      <w:r w:rsidR="001D1F6B" w:rsidRPr="00485C61">
        <w:rPr>
          <w:rFonts w:ascii="Times" w:hAnsi="Times"/>
        </w:rPr>
        <w:t>Issue #2</w:t>
      </w:r>
      <w:r>
        <w:rPr>
          <w:rFonts w:ascii="Times" w:hAnsi="Times"/>
        </w:rPr>
        <w:t xml:space="preserve"> seek</w:t>
      </w:r>
      <w:r w:rsidR="001D1F6B" w:rsidRPr="00485C61">
        <w:rPr>
          <w:rFonts w:ascii="Times" w:hAnsi="Times"/>
        </w:rPr>
        <w:t xml:space="preserve"> “</w:t>
      </w:r>
      <w:r w:rsidR="001D1F6B" w:rsidRPr="00485C61">
        <w:rPr>
          <w:rFonts w:ascii="Times" w:eastAsia="Times New Roman" w:hAnsi="Times" w:cs="Times New Roman"/>
        </w:rPr>
        <w:t>to provide a la</w:t>
      </w:r>
      <w:r w:rsidR="007676C9">
        <w:rPr>
          <w:rFonts w:ascii="Times" w:eastAsia="Times New Roman" w:hAnsi="Times" w:cs="Times New Roman"/>
        </w:rPr>
        <w:t>rger, transnational context for…</w:t>
      </w:r>
      <w:r w:rsidR="001D1F6B" w:rsidRPr="00485C61">
        <w:rPr>
          <w:rFonts w:ascii="Times" w:eastAsia="Times New Roman" w:hAnsi="Times" w:cs="Times New Roman"/>
        </w:rPr>
        <w:t>1789 Sa</w:t>
      </w:r>
      <w:r>
        <w:rPr>
          <w:rFonts w:ascii="Times" w:eastAsia="Times New Roman" w:hAnsi="Times" w:cs="Times New Roman"/>
        </w:rPr>
        <w:t>int-Domingue,</w:t>
      </w:r>
      <w:r w:rsidR="001D1F6B" w:rsidRPr="00485C61">
        <w:rPr>
          <w:rFonts w:ascii="Times" w:eastAsia="Times New Roman" w:hAnsi="Times" w:cs="Times New Roman"/>
        </w:rPr>
        <w:t>”</w:t>
      </w:r>
      <w:r>
        <w:rPr>
          <w:rFonts w:ascii="Times" w:eastAsia="Times New Roman" w:hAnsi="Times" w:cs="Times New Roman"/>
        </w:rPr>
        <w:t xml:space="preserve"> and they succeed promisingly.</w:t>
      </w:r>
      <w:r w:rsidR="00173BC1">
        <w:rPr>
          <w:rFonts w:ascii="Times" w:eastAsia="Times New Roman" w:hAnsi="Times" w:cs="Times New Roman"/>
        </w:rPr>
        <w:t xml:space="preserve">  Two</w:t>
      </w:r>
      <w:r w:rsidR="002B3640">
        <w:rPr>
          <w:rFonts w:ascii="Times" w:eastAsia="Times New Roman" w:hAnsi="Times" w:cs="Times New Roman"/>
        </w:rPr>
        <w:t xml:space="preserve"> pamphlets</w:t>
      </w:r>
      <w:r w:rsidR="00173BC1">
        <w:rPr>
          <w:rFonts w:ascii="Times" w:eastAsia="Times New Roman" w:hAnsi="Times" w:cs="Times New Roman"/>
        </w:rPr>
        <w:t xml:space="preserve"> in particular </w:t>
      </w:r>
      <w:r w:rsidR="00173BC1">
        <w:rPr>
          <w:rFonts w:ascii="Times" w:hAnsi="Times"/>
        </w:rPr>
        <w:t>offer a regional view of French administrative questions in the Caribbean</w:t>
      </w:r>
      <w:r w:rsidR="00991263">
        <w:rPr>
          <w:rFonts w:ascii="Times" w:hAnsi="Times"/>
        </w:rPr>
        <w:t>, tantalizingly pointing to new directions of inquiry: the functioning and life of regional ports, regional foodways, and intra-Caribbean traffic generally.</w:t>
      </w:r>
      <w:r w:rsidR="001D1F6B">
        <w:rPr>
          <w:rStyle w:val="FootnoteReference"/>
          <w:rFonts w:ascii="Times" w:hAnsi="Times"/>
        </w:rPr>
        <w:footnoteReference w:id="11"/>
      </w:r>
      <w:r w:rsidR="00CD41A6">
        <w:rPr>
          <w:rFonts w:ascii="Times" w:eastAsia="Times New Roman" w:hAnsi="Times" w:cs="Times New Roman"/>
        </w:rPr>
        <w:t xml:space="preserve"> </w:t>
      </w:r>
      <w:r w:rsidR="00CD41A6" w:rsidRPr="00485C61">
        <w:rPr>
          <w:rFonts w:ascii="Times" w:hAnsi="Times"/>
        </w:rPr>
        <w:t xml:space="preserve">The scholars </w:t>
      </w:r>
      <w:r w:rsidR="00CD41A6">
        <w:rPr>
          <w:rFonts w:ascii="Times" w:hAnsi="Times"/>
        </w:rPr>
        <w:t>aver</w:t>
      </w:r>
      <w:r w:rsidR="00CD41A6" w:rsidRPr="00485C61">
        <w:rPr>
          <w:rFonts w:ascii="Times" w:hAnsi="Times"/>
        </w:rPr>
        <w:t xml:space="preserve"> that their initial goal for </w:t>
      </w:r>
      <w:r w:rsidR="00CD41A6" w:rsidRPr="00485C61">
        <w:rPr>
          <w:rFonts w:ascii="Times" w:hAnsi="Times"/>
          <w:i/>
        </w:rPr>
        <w:t xml:space="preserve">Colony in Crisis </w:t>
      </w:r>
      <w:r w:rsidR="00CD41A6" w:rsidRPr="00485C61">
        <w:rPr>
          <w:rFonts w:ascii="Times" w:hAnsi="Times"/>
        </w:rPr>
        <w:t>was to “</w:t>
      </w:r>
      <w:r w:rsidR="00CD41A6" w:rsidRPr="00485C61">
        <w:rPr>
          <w:rFonts w:ascii="Times" w:eastAsia="Times New Roman" w:hAnsi="Times" w:cs="Times New Roman"/>
        </w:rPr>
        <w:t xml:space="preserve">speak to the conditions of the slaves, wealthy and poor planters, free people of color, and the reactions to the system of slavery in </w:t>
      </w:r>
      <w:r w:rsidR="00CD41A6">
        <w:rPr>
          <w:rFonts w:ascii="Times" w:eastAsia="Times New Roman" w:hAnsi="Times" w:cs="Times New Roman"/>
        </w:rPr>
        <w:t>mainland France</w:t>
      </w:r>
      <w:r w:rsidR="00AA5747">
        <w:rPr>
          <w:rFonts w:ascii="Times" w:eastAsia="Times New Roman" w:hAnsi="Times" w:cs="Times New Roman"/>
        </w:rPr>
        <w:t>,</w:t>
      </w:r>
      <w:r w:rsidR="00CD41A6">
        <w:rPr>
          <w:rFonts w:ascii="Times" w:eastAsia="Times New Roman" w:hAnsi="Times" w:cs="Times New Roman"/>
        </w:rPr>
        <w:t>”</w:t>
      </w:r>
      <w:r w:rsidR="00AA5747">
        <w:rPr>
          <w:rFonts w:ascii="Times" w:eastAsia="Times New Roman" w:hAnsi="Times" w:cs="Times New Roman"/>
        </w:rPr>
        <w:t xml:space="preserve"> and that this goal was unmanageably broad.</w:t>
      </w:r>
      <w:r w:rsidR="00CD41A6">
        <w:rPr>
          <w:rStyle w:val="FootnoteReference"/>
          <w:rFonts w:ascii="Times" w:eastAsia="Times New Roman" w:hAnsi="Times" w:cs="Times New Roman"/>
        </w:rPr>
        <w:footnoteReference w:id="12"/>
      </w:r>
      <w:r w:rsidR="0017341C">
        <w:rPr>
          <w:rFonts w:ascii="Times" w:eastAsia="Times New Roman" w:hAnsi="Times" w:cs="Times New Roman"/>
        </w:rPr>
        <w:t xml:space="preserve">  Nevertheless, </w:t>
      </w:r>
      <w:r w:rsidR="00671CFD">
        <w:rPr>
          <w:rFonts w:ascii="Times" w:eastAsia="Times New Roman" w:hAnsi="Times" w:cs="Times New Roman"/>
        </w:rPr>
        <w:t>in these final documents, the authors</w:t>
      </w:r>
      <w:r w:rsidR="00E50945">
        <w:rPr>
          <w:rFonts w:ascii="Times" w:eastAsia="Times New Roman" w:hAnsi="Times" w:cs="Times New Roman"/>
        </w:rPr>
        <w:t xml:space="preserve"> provide a </w:t>
      </w:r>
      <w:r w:rsidR="00001716">
        <w:rPr>
          <w:rFonts w:ascii="Times" w:eastAsia="Times New Roman" w:hAnsi="Times" w:cs="Times New Roman"/>
        </w:rPr>
        <w:t>scaffold</w:t>
      </w:r>
      <w:r w:rsidR="00E50945">
        <w:rPr>
          <w:rFonts w:ascii="Times" w:eastAsia="Times New Roman" w:hAnsi="Times" w:cs="Times New Roman"/>
        </w:rPr>
        <w:t xml:space="preserve"> </w:t>
      </w:r>
      <w:r w:rsidR="006A0EB6">
        <w:rPr>
          <w:rFonts w:ascii="Times" w:eastAsia="Times New Roman" w:hAnsi="Times" w:cs="Times New Roman"/>
        </w:rPr>
        <w:t>for just such a growing dialogue.</w:t>
      </w:r>
      <w:r w:rsidR="00204AA9">
        <w:rPr>
          <w:rFonts w:ascii="Times" w:eastAsia="Times New Roman" w:hAnsi="Times" w:cs="Times New Roman"/>
        </w:rPr>
        <w:t xml:space="preserve"> </w:t>
      </w:r>
      <w:r w:rsidR="00204AA9">
        <w:rPr>
          <w:rFonts w:ascii="Times" w:eastAsia="Times New Roman" w:hAnsi="Times" w:cs="Times New Roman"/>
          <w:i/>
        </w:rPr>
        <w:t>Colony</w:t>
      </w:r>
      <w:r w:rsidR="00204AA9">
        <w:rPr>
          <w:rFonts w:ascii="Times" w:eastAsia="Times New Roman" w:hAnsi="Times" w:cs="Times New Roman"/>
        </w:rPr>
        <w:t xml:space="preserve"> calls</w:t>
      </w:r>
      <w:r w:rsidR="00204AA9" w:rsidRPr="00204AA9">
        <w:rPr>
          <w:rFonts w:ascii="Times" w:hAnsi="Times"/>
          <w:color w:val="7F7F7F" w:themeColor="text1" w:themeTint="80"/>
        </w:rPr>
        <w:t xml:space="preserve"> </w:t>
      </w:r>
      <w:r w:rsidR="00204AA9" w:rsidRPr="00C70577">
        <w:rPr>
          <w:rFonts w:ascii="Times" w:hAnsi="Times"/>
          <w:color w:val="000000" w:themeColor="text1"/>
        </w:rPr>
        <w:t>attention to a wealth of printed resources currently housed in separate physical institutions</w:t>
      </w:r>
      <w:r w:rsidR="00EF036A">
        <w:rPr>
          <w:rFonts w:ascii="Times" w:hAnsi="Times"/>
          <w:color w:val="000000" w:themeColor="text1"/>
        </w:rPr>
        <w:t xml:space="preserve">, and it succeeds brilliantly in making them accessible to scholars of </w:t>
      </w:r>
      <w:r w:rsidR="006A2E6F">
        <w:rPr>
          <w:rFonts w:ascii="Times" w:hAnsi="Times"/>
          <w:color w:val="000000" w:themeColor="text1"/>
        </w:rPr>
        <w:t>varying</w:t>
      </w:r>
      <w:r w:rsidR="00EF036A">
        <w:rPr>
          <w:rFonts w:ascii="Times" w:hAnsi="Times"/>
          <w:color w:val="000000" w:themeColor="text1"/>
        </w:rPr>
        <w:t xml:space="preserve"> interests and </w:t>
      </w:r>
      <w:r w:rsidR="006A2E6F">
        <w:rPr>
          <w:rFonts w:ascii="Times" w:hAnsi="Times"/>
          <w:color w:val="000000" w:themeColor="text1"/>
        </w:rPr>
        <w:t>engagement</w:t>
      </w:r>
      <w:r w:rsidR="00204AA9" w:rsidRPr="00C70577">
        <w:rPr>
          <w:rFonts w:ascii="Times" w:hAnsi="Times"/>
          <w:color w:val="000000" w:themeColor="text1"/>
        </w:rPr>
        <w:t>.</w:t>
      </w:r>
      <w:r w:rsidR="00C51A3E">
        <w:rPr>
          <w:rFonts w:ascii="Times" w:hAnsi="Times"/>
          <w:color w:val="000000" w:themeColor="text1"/>
        </w:rPr>
        <w:t xml:space="preserve">  One might easily see how another pamphlet series might include </w:t>
      </w:r>
      <w:hyperlink r:id="rId9" w:anchor="v=onepage&amp;q&amp;f=false" w:history="1">
        <w:r w:rsidR="00C51A3E" w:rsidRPr="00FC5A75">
          <w:rPr>
            <w:rStyle w:val="Hyperlink"/>
            <w:rFonts w:ascii="Times" w:hAnsi="Times"/>
          </w:rPr>
          <w:t>texts</w:t>
        </w:r>
      </w:hyperlink>
      <w:r w:rsidR="00C51A3E">
        <w:rPr>
          <w:rFonts w:ascii="Times" w:hAnsi="Times"/>
          <w:color w:val="000000" w:themeColor="text1"/>
        </w:rPr>
        <w:t xml:space="preserve"> from Saint-Domingue’s immediate cattle-trading neighbor, for example, Santo Domingo.</w:t>
      </w:r>
      <w:r w:rsidR="00204AA9" w:rsidRPr="00C70577">
        <w:rPr>
          <w:rFonts w:ascii="Times" w:hAnsi="Times"/>
          <w:color w:val="000000" w:themeColor="text1"/>
        </w:rPr>
        <w:t xml:space="preserve">  </w:t>
      </w:r>
      <w:r w:rsidR="0039441A">
        <w:rPr>
          <w:rFonts w:ascii="Times" w:hAnsi="Times"/>
          <w:color w:val="000000" w:themeColor="text1"/>
        </w:rPr>
        <w:t xml:space="preserve">Another challenge might be how resources from this “rich print culture” could be gathered alongside other more fragmentary text sources, oral </w:t>
      </w:r>
      <w:r w:rsidR="00DE2717">
        <w:rPr>
          <w:rFonts w:ascii="Times" w:hAnsi="Times"/>
          <w:color w:val="000000" w:themeColor="text1"/>
        </w:rPr>
        <w:t>histories</w:t>
      </w:r>
      <w:r w:rsidR="0039441A">
        <w:rPr>
          <w:rFonts w:ascii="Times" w:hAnsi="Times"/>
          <w:color w:val="000000" w:themeColor="text1"/>
        </w:rPr>
        <w:t>,</w:t>
      </w:r>
      <w:r w:rsidR="00DE2717">
        <w:rPr>
          <w:rFonts w:ascii="Times" w:hAnsi="Times"/>
          <w:color w:val="000000" w:themeColor="text1"/>
        </w:rPr>
        <w:t xml:space="preserve"> and</w:t>
      </w:r>
      <w:r w:rsidR="0039441A">
        <w:rPr>
          <w:rFonts w:ascii="Times" w:hAnsi="Times"/>
          <w:color w:val="000000" w:themeColor="text1"/>
        </w:rPr>
        <w:t xml:space="preserve"> sound studies.</w:t>
      </w:r>
      <w:r w:rsidR="00DE2717">
        <w:rPr>
          <w:rStyle w:val="FootnoteReference"/>
          <w:rFonts w:ascii="Times" w:hAnsi="Times"/>
          <w:color w:val="000000" w:themeColor="text1"/>
        </w:rPr>
        <w:footnoteReference w:id="13"/>
      </w:r>
      <w:r w:rsidR="0039441A">
        <w:rPr>
          <w:rFonts w:ascii="Times" w:hAnsi="Times"/>
          <w:color w:val="000000" w:themeColor="text1"/>
        </w:rPr>
        <w:t xml:space="preserve">  </w:t>
      </w:r>
      <w:r w:rsidR="00C33E66" w:rsidRPr="00C33E66">
        <w:rPr>
          <w:rFonts w:ascii="Times" w:hAnsi="Times"/>
          <w:i/>
          <w:color w:val="000000" w:themeColor="text1"/>
        </w:rPr>
        <w:t>Colony</w:t>
      </w:r>
      <w:r w:rsidR="00C33E66">
        <w:rPr>
          <w:rFonts w:ascii="Times" w:hAnsi="Times"/>
          <w:color w:val="000000" w:themeColor="text1"/>
        </w:rPr>
        <w:t xml:space="preserve"> boasts a Board of Advisors who could bring context </w:t>
      </w:r>
      <w:r w:rsidR="004C7DBF">
        <w:rPr>
          <w:rFonts w:ascii="Times" w:hAnsi="Times"/>
          <w:color w:val="000000" w:themeColor="text1"/>
        </w:rPr>
        <w:t>to a wide variety of sources and also to bring</w:t>
      </w:r>
      <w:r w:rsidR="00425771">
        <w:rPr>
          <w:rFonts w:ascii="Times" w:hAnsi="Times"/>
          <w:color w:val="000000" w:themeColor="text1"/>
        </w:rPr>
        <w:t xml:space="preserve"> </w:t>
      </w:r>
      <w:hyperlink r:id="rId10" w:history="1">
        <w:r w:rsidR="00425771" w:rsidRPr="00425771">
          <w:rPr>
            <w:rStyle w:val="Hyperlink"/>
            <w:rFonts w:ascii="Times" w:hAnsi="Times"/>
          </w:rPr>
          <w:t>ongoing</w:t>
        </w:r>
      </w:hyperlink>
      <w:r w:rsidR="004C7DBF">
        <w:rPr>
          <w:rFonts w:ascii="Times" w:hAnsi="Times"/>
          <w:color w:val="000000" w:themeColor="text1"/>
        </w:rPr>
        <w:t xml:space="preserve"> </w:t>
      </w:r>
      <w:r w:rsidR="004C7DBF" w:rsidRPr="00425771">
        <w:rPr>
          <w:rFonts w:ascii="Times" w:hAnsi="Times"/>
          <w:color w:val="000000" w:themeColor="text1"/>
        </w:rPr>
        <w:t>vibrant debates</w:t>
      </w:r>
      <w:r w:rsidR="004C7DBF">
        <w:rPr>
          <w:rFonts w:ascii="Times" w:hAnsi="Times"/>
          <w:color w:val="000000" w:themeColor="text1"/>
        </w:rPr>
        <w:t xml:space="preserve"> about the archive itself to new audiences</w:t>
      </w:r>
      <w:r w:rsidR="0039441A">
        <w:rPr>
          <w:rFonts w:ascii="Times" w:hAnsi="Times"/>
          <w:color w:val="000000" w:themeColor="text1"/>
        </w:rPr>
        <w:t xml:space="preserve">.  </w:t>
      </w:r>
      <w:r w:rsidR="002C57EA">
        <w:rPr>
          <w:rFonts w:ascii="Times" w:hAnsi="Times"/>
          <w:color w:val="000000" w:themeColor="text1"/>
        </w:rPr>
        <w:t>These discussions might grow closer to the lived experience of enslaved men, women, and children</w:t>
      </w:r>
      <w:r w:rsidR="00405D7C">
        <w:rPr>
          <w:rFonts w:ascii="Times" w:hAnsi="Times"/>
          <w:color w:val="000000" w:themeColor="text1"/>
        </w:rPr>
        <w:t>,</w:t>
      </w:r>
      <w:r w:rsidR="002C57EA">
        <w:rPr>
          <w:rFonts w:ascii="Times" w:hAnsi="Times"/>
          <w:color w:val="000000" w:themeColor="text1"/>
        </w:rPr>
        <w:t xml:space="preserve"> who made up </w:t>
      </w:r>
      <w:r w:rsidR="00B53830">
        <w:rPr>
          <w:rFonts w:ascii="Times" w:hAnsi="Times"/>
          <w:color w:val="000000" w:themeColor="text1"/>
        </w:rPr>
        <w:t>the majority of Saint-Domingue as the colony</w:t>
      </w:r>
      <w:r w:rsidR="002C57EA">
        <w:rPr>
          <w:rFonts w:ascii="Times" w:hAnsi="Times"/>
          <w:color w:val="000000" w:themeColor="text1"/>
        </w:rPr>
        <w:t xml:space="preserve"> confronted crises of the 1780s.  </w:t>
      </w:r>
      <w:r w:rsidR="0052459E">
        <w:rPr>
          <w:rFonts w:ascii="Times" w:hAnsi="Times"/>
          <w:color w:val="000000" w:themeColor="text1"/>
        </w:rPr>
        <w:t>Readers will quickly</w:t>
      </w:r>
      <w:r w:rsidR="0039441A">
        <w:rPr>
          <w:rFonts w:ascii="Times" w:hAnsi="Times"/>
          <w:color w:val="000000" w:themeColor="text1"/>
        </w:rPr>
        <w:t xml:space="preserve"> have a sense of magnitude and value of this project, and I look forward to </w:t>
      </w:r>
      <w:r w:rsidR="009A7BDC">
        <w:rPr>
          <w:rFonts w:ascii="Times" w:hAnsi="Times"/>
          <w:color w:val="000000" w:themeColor="text1"/>
        </w:rPr>
        <w:t>following the site</w:t>
      </w:r>
      <w:r w:rsidR="0039441A">
        <w:rPr>
          <w:rFonts w:ascii="Times" w:hAnsi="Times"/>
          <w:color w:val="000000" w:themeColor="text1"/>
        </w:rPr>
        <w:t xml:space="preserve"> as it </w:t>
      </w:r>
      <w:r w:rsidR="00051CDC">
        <w:rPr>
          <w:rFonts w:ascii="Times" w:hAnsi="Times"/>
          <w:color w:val="000000" w:themeColor="text1"/>
        </w:rPr>
        <w:t>grows</w:t>
      </w:r>
      <w:r w:rsidR="0039441A">
        <w:rPr>
          <w:rFonts w:ascii="Times" w:hAnsi="Times"/>
          <w:color w:val="000000" w:themeColor="text1"/>
        </w:rPr>
        <w:t>.</w:t>
      </w:r>
    </w:p>
    <w:p w14:paraId="3005CB6A" w14:textId="77777777" w:rsidR="001D1F6B" w:rsidRDefault="001D1F6B" w:rsidP="00552710">
      <w:pPr>
        <w:rPr>
          <w:rFonts w:ascii="Times" w:hAnsi="Times"/>
        </w:rPr>
      </w:pPr>
    </w:p>
    <w:p w14:paraId="314636D0" w14:textId="77777777" w:rsidR="00333382" w:rsidRDefault="00333382">
      <w:pPr>
        <w:rPr>
          <w:rFonts w:ascii="Times" w:hAnsi="Times"/>
        </w:rPr>
      </w:pPr>
    </w:p>
    <w:sectPr w:rsidR="00333382" w:rsidSect="0093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A004" w14:textId="77777777" w:rsidR="00C33E66" w:rsidRDefault="00C33E66" w:rsidP="00771E54">
      <w:r>
        <w:separator/>
      </w:r>
    </w:p>
  </w:endnote>
  <w:endnote w:type="continuationSeparator" w:id="0">
    <w:p w14:paraId="5E415D41" w14:textId="77777777" w:rsidR="00C33E66" w:rsidRDefault="00C33E66" w:rsidP="00771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51610A" w14:textId="77777777" w:rsidR="00C33E66" w:rsidRDefault="00C33E66" w:rsidP="00771E54">
      <w:r>
        <w:separator/>
      </w:r>
    </w:p>
  </w:footnote>
  <w:footnote w:type="continuationSeparator" w:id="0">
    <w:p w14:paraId="307DEFDF" w14:textId="77777777" w:rsidR="00C33E66" w:rsidRDefault="00C33E66" w:rsidP="00771E54">
      <w:r>
        <w:continuationSeparator/>
      </w:r>
    </w:p>
  </w:footnote>
  <w:footnote w:id="1">
    <w:p w14:paraId="1E389843" w14:textId="2021247C" w:rsidR="00C33E66" w:rsidRPr="00CD41A6" w:rsidRDefault="00C33E66">
      <w:pPr>
        <w:pStyle w:val="FootnoteText"/>
        <w:rPr>
          <w:rFonts w:ascii="Times" w:hAnsi="Times"/>
          <w:sz w:val="20"/>
          <w:szCs w:val="20"/>
        </w:rPr>
      </w:pPr>
      <w:r w:rsidRPr="00CD41A6">
        <w:rPr>
          <w:rStyle w:val="FootnoteReference"/>
          <w:rFonts w:ascii="Times" w:hAnsi="Times"/>
          <w:sz w:val="20"/>
          <w:szCs w:val="20"/>
        </w:rPr>
        <w:footnoteRef/>
      </w:r>
      <w:r w:rsidRPr="00CD41A6">
        <w:rPr>
          <w:rFonts w:ascii="Times" w:hAnsi="Times"/>
          <w:sz w:val="20"/>
          <w:szCs w:val="20"/>
        </w:rPr>
        <w:t xml:space="preserve"> </w:t>
      </w:r>
      <w:hyperlink r:id="rId1" w:history="1">
        <w:r w:rsidRPr="00CD41A6">
          <w:rPr>
            <w:rStyle w:val="Hyperlink"/>
            <w:rFonts w:ascii="Times" w:hAnsi="Times"/>
            <w:sz w:val="20"/>
            <w:szCs w:val="20"/>
          </w:rPr>
          <w:t>The Project</w:t>
        </w:r>
      </w:hyperlink>
    </w:p>
  </w:footnote>
  <w:footnote w:id="2">
    <w:p w14:paraId="2EA23482" w14:textId="77777777" w:rsidR="00C33E66" w:rsidRPr="00CD41A6" w:rsidRDefault="00C33E66" w:rsidP="0032127D">
      <w:pPr>
        <w:pStyle w:val="FootnoteText"/>
        <w:rPr>
          <w:rFonts w:ascii="Times" w:hAnsi="Times"/>
          <w:sz w:val="20"/>
          <w:szCs w:val="20"/>
        </w:rPr>
      </w:pPr>
      <w:r w:rsidRPr="00CD41A6">
        <w:rPr>
          <w:rStyle w:val="FootnoteReference"/>
          <w:rFonts w:ascii="Times" w:hAnsi="Times"/>
          <w:sz w:val="20"/>
          <w:szCs w:val="20"/>
        </w:rPr>
        <w:footnoteRef/>
      </w:r>
      <w:r w:rsidRPr="00CD41A6">
        <w:rPr>
          <w:rFonts w:ascii="Times" w:hAnsi="Times"/>
          <w:sz w:val="20"/>
          <w:szCs w:val="20"/>
        </w:rPr>
        <w:t xml:space="preserve"> </w:t>
      </w:r>
      <w:hyperlink r:id="rId2" w:history="1">
        <w:r w:rsidRPr="00CD41A6">
          <w:rPr>
            <w:rStyle w:val="Hyperlink"/>
            <w:rFonts w:ascii="Times" w:hAnsi="Times"/>
            <w:sz w:val="20"/>
            <w:szCs w:val="20"/>
          </w:rPr>
          <w:t>Révolution</w:t>
        </w:r>
      </w:hyperlink>
      <w:r w:rsidRPr="00CD41A6">
        <w:rPr>
          <w:rFonts w:ascii="Times" w:hAnsi="Times"/>
          <w:sz w:val="20"/>
          <w:szCs w:val="20"/>
        </w:rPr>
        <w:t xml:space="preserve">, </w:t>
      </w:r>
      <w:hyperlink r:id="rId3" w:history="1">
        <w:r w:rsidRPr="00CD41A6">
          <w:rPr>
            <w:rStyle w:val="Hyperlink"/>
            <w:rFonts w:ascii="Times" w:hAnsi="Times"/>
            <w:sz w:val="20"/>
            <w:szCs w:val="20"/>
          </w:rPr>
          <w:t>HHB</w:t>
        </w:r>
      </w:hyperlink>
      <w:r w:rsidRPr="00CD41A6">
        <w:rPr>
          <w:rFonts w:ascii="Times" w:hAnsi="Times"/>
          <w:sz w:val="20"/>
          <w:szCs w:val="20"/>
        </w:rPr>
        <w:t>.</w:t>
      </w:r>
    </w:p>
  </w:footnote>
  <w:footnote w:id="3">
    <w:p w14:paraId="1C60AB3A" w14:textId="6C60071B" w:rsidR="00C33E66" w:rsidRPr="00CD41A6" w:rsidRDefault="00C33E66" w:rsidP="00CA490B">
      <w:pPr>
        <w:rPr>
          <w:rFonts w:ascii="Times" w:hAnsi="Times"/>
          <w:sz w:val="20"/>
          <w:szCs w:val="20"/>
        </w:rPr>
      </w:pPr>
      <w:r w:rsidRPr="00CD41A6">
        <w:rPr>
          <w:rStyle w:val="FootnoteReference"/>
          <w:rFonts w:ascii="Times" w:hAnsi="Times"/>
          <w:sz w:val="20"/>
          <w:szCs w:val="20"/>
        </w:rPr>
        <w:footnoteRef/>
      </w:r>
      <w:r w:rsidRPr="00CD41A6">
        <w:rPr>
          <w:rFonts w:ascii="Times" w:hAnsi="Times"/>
          <w:sz w:val="20"/>
          <w:szCs w:val="20"/>
        </w:rPr>
        <w:t xml:space="preserve"> </w:t>
      </w:r>
      <w:hyperlink r:id="rId4" w:history="1">
        <w:r w:rsidRPr="00CD41A6">
          <w:rPr>
            <w:rStyle w:val="Hyperlink"/>
            <w:rFonts w:ascii="Times" w:hAnsi="Times"/>
            <w:sz w:val="20"/>
            <w:szCs w:val="20"/>
          </w:rPr>
          <w:t>Cocherel II</w:t>
        </w:r>
      </w:hyperlink>
      <w:r w:rsidRPr="00CD41A6">
        <w:rPr>
          <w:rFonts w:ascii="Times" w:hAnsi="Times"/>
          <w:sz w:val="20"/>
          <w:szCs w:val="20"/>
        </w:rPr>
        <w:t xml:space="preserve">, emphasis added.  The </w:t>
      </w:r>
      <w:hyperlink r:id="rId5" w:history="1">
        <w:r w:rsidRPr="00CD41A6">
          <w:rPr>
            <w:rStyle w:val="Hyperlink"/>
            <w:rFonts w:ascii="Times" w:hAnsi="Times"/>
            <w:sz w:val="20"/>
            <w:szCs w:val="20"/>
          </w:rPr>
          <w:t>Comte de Reynaud</w:t>
        </w:r>
      </w:hyperlink>
      <w:r w:rsidRPr="00CD41A6">
        <w:rPr>
          <w:rFonts w:ascii="Times" w:hAnsi="Times"/>
          <w:sz w:val="20"/>
          <w:szCs w:val="20"/>
        </w:rPr>
        <w:t xml:space="preserve"> suggests an “eve…of famine.” The table of contents also echoes this theme, in its phrasing “the grain shortages in Saint-Domingue…threatened the planters with famine and malnutrition.”  </w:t>
      </w:r>
    </w:p>
  </w:footnote>
  <w:footnote w:id="4">
    <w:p w14:paraId="521DB0FC" w14:textId="0CCBD3CF" w:rsidR="00C33E66" w:rsidRPr="00CD41A6" w:rsidRDefault="00C33E66" w:rsidP="004229D7">
      <w:pPr>
        <w:pStyle w:val="FootnoteText"/>
        <w:rPr>
          <w:rFonts w:ascii="Times" w:hAnsi="Times"/>
          <w:sz w:val="20"/>
          <w:szCs w:val="20"/>
        </w:rPr>
      </w:pPr>
      <w:r w:rsidRPr="00CD41A6">
        <w:rPr>
          <w:rStyle w:val="FootnoteReference"/>
          <w:rFonts w:ascii="Times" w:hAnsi="Times"/>
          <w:sz w:val="20"/>
          <w:szCs w:val="20"/>
        </w:rPr>
        <w:footnoteRef/>
      </w:r>
      <w:r w:rsidRPr="00CD41A6">
        <w:rPr>
          <w:rFonts w:ascii="Times" w:hAnsi="Times"/>
          <w:sz w:val="20"/>
          <w:szCs w:val="20"/>
        </w:rPr>
        <w:t xml:space="preserve">His refutation is not in the </w:t>
      </w:r>
      <w:hyperlink r:id="rId6" w:history="1">
        <w:r w:rsidRPr="00CD41A6">
          <w:rPr>
            <w:rStyle w:val="Hyperlink"/>
            <w:rFonts w:ascii="Times" w:hAnsi="Times"/>
            <w:sz w:val="20"/>
            <w:szCs w:val="20"/>
          </w:rPr>
          <w:t>English translation</w:t>
        </w:r>
      </w:hyperlink>
      <w:r w:rsidRPr="00CD41A6">
        <w:rPr>
          <w:rFonts w:ascii="Times" w:hAnsi="Times"/>
          <w:sz w:val="20"/>
          <w:szCs w:val="20"/>
        </w:rPr>
        <w:t xml:space="preserve"> but offered in the full Mémoire (</w:t>
      </w:r>
      <w:hyperlink r:id="rId7" w:anchor="page/34/mode/2up" w:history="1">
        <w:r w:rsidRPr="00CD41A6">
          <w:rPr>
            <w:rStyle w:val="Hyperlink"/>
            <w:rFonts w:ascii="Times" w:hAnsi="Times"/>
            <w:sz w:val="20"/>
            <w:szCs w:val="20"/>
          </w:rPr>
          <w:t>Mémoire</w:t>
        </w:r>
      </w:hyperlink>
      <w:r w:rsidRPr="00CD41A6">
        <w:rPr>
          <w:rFonts w:ascii="Times" w:hAnsi="Times"/>
          <w:sz w:val="20"/>
          <w:szCs w:val="20"/>
        </w:rPr>
        <w:t xml:space="preserve"> 35).</w:t>
      </w:r>
    </w:p>
  </w:footnote>
  <w:footnote w:id="5">
    <w:p w14:paraId="13790CC2" w14:textId="377A1486" w:rsidR="00C33E66" w:rsidRPr="00CD41A6" w:rsidRDefault="00C33E66" w:rsidP="00F708E2">
      <w:pPr>
        <w:pStyle w:val="FootnoteText"/>
        <w:rPr>
          <w:rFonts w:ascii="Times" w:hAnsi="Times"/>
          <w:sz w:val="20"/>
          <w:szCs w:val="20"/>
        </w:rPr>
      </w:pPr>
      <w:r w:rsidRPr="00CD41A6">
        <w:rPr>
          <w:rStyle w:val="FootnoteReference"/>
          <w:rFonts w:ascii="Times" w:hAnsi="Times"/>
          <w:sz w:val="20"/>
          <w:szCs w:val="20"/>
        </w:rPr>
        <w:footnoteRef/>
      </w:r>
      <w:r w:rsidRPr="00CD41A6">
        <w:rPr>
          <w:rFonts w:ascii="Times" w:hAnsi="Times"/>
          <w:sz w:val="20"/>
          <w:szCs w:val="20"/>
        </w:rPr>
        <w:t xml:space="preserve"> Joseph Horan, “The Colonial Famine Plot: Slavery, Free Trade, and Empire in the French Atlantic, 1763-1791.” </w:t>
      </w:r>
      <w:r w:rsidRPr="00CD41A6">
        <w:rPr>
          <w:rFonts w:ascii="Times" w:hAnsi="Times"/>
          <w:i/>
          <w:sz w:val="20"/>
          <w:szCs w:val="20"/>
        </w:rPr>
        <w:t>IRSH</w:t>
      </w:r>
      <w:r w:rsidRPr="00CD41A6">
        <w:rPr>
          <w:rFonts w:ascii="Times" w:hAnsi="Times"/>
          <w:sz w:val="20"/>
          <w:szCs w:val="20"/>
        </w:rPr>
        <w:t xml:space="preserve"> 55(2010), 103-121. </w:t>
      </w:r>
      <w:hyperlink r:id="rId8" w:history="1">
        <w:r w:rsidRPr="00CD41A6">
          <w:rPr>
            <w:rStyle w:val="Hyperlink"/>
            <w:rFonts w:ascii="Times" w:hAnsi="Times"/>
            <w:sz w:val="20"/>
            <w:szCs w:val="20"/>
          </w:rPr>
          <w:t>Gouy d’Arsy</w:t>
        </w:r>
      </w:hyperlink>
      <w:r w:rsidRPr="00CD41A6">
        <w:rPr>
          <w:rFonts w:ascii="Times" w:hAnsi="Times"/>
          <w:sz w:val="20"/>
          <w:szCs w:val="20"/>
        </w:rPr>
        <w:t xml:space="preserve"> and </w:t>
      </w:r>
      <w:hyperlink r:id="rId9" w:history="1">
        <w:r w:rsidRPr="00CD41A6">
          <w:rPr>
            <w:rStyle w:val="Hyperlink"/>
            <w:rFonts w:ascii="Times" w:hAnsi="Times"/>
            <w:sz w:val="20"/>
            <w:szCs w:val="20"/>
          </w:rPr>
          <w:t>Reynaud</w:t>
        </w:r>
      </w:hyperlink>
      <w:r w:rsidRPr="00CD41A6">
        <w:rPr>
          <w:rFonts w:ascii="Times" w:hAnsi="Times"/>
          <w:sz w:val="20"/>
          <w:szCs w:val="20"/>
        </w:rPr>
        <w:t xml:space="preserve"> invoke the diet of enslaved people in their petitions.</w:t>
      </w:r>
    </w:p>
  </w:footnote>
  <w:footnote w:id="6">
    <w:p w14:paraId="0FC7C581" w14:textId="1BB2288A" w:rsidR="00C33E66" w:rsidRPr="00DE2717" w:rsidRDefault="00C33E66">
      <w:pPr>
        <w:pStyle w:val="FootnoteText"/>
        <w:rPr>
          <w:rFonts w:ascii="Times" w:hAnsi="Times"/>
          <w:sz w:val="20"/>
          <w:szCs w:val="20"/>
        </w:rPr>
      </w:pPr>
      <w:r w:rsidRPr="00DE2717">
        <w:rPr>
          <w:rStyle w:val="FootnoteReference"/>
          <w:rFonts w:ascii="Times" w:hAnsi="Times"/>
          <w:sz w:val="20"/>
          <w:szCs w:val="20"/>
        </w:rPr>
        <w:footnoteRef/>
      </w:r>
      <w:r w:rsidRPr="00DE2717">
        <w:rPr>
          <w:rFonts w:ascii="Times" w:hAnsi="Times"/>
          <w:sz w:val="20"/>
          <w:szCs w:val="20"/>
        </w:rPr>
        <w:t xml:space="preserve"> </w:t>
      </w:r>
      <w:hyperlink r:id="rId10" w:history="1">
        <w:r w:rsidRPr="00DE2717">
          <w:rPr>
            <w:rStyle w:val="Hyperlink"/>
            <w:rFonts w:ascii="Times" w:hAnsi="Times"/>
            <w:sz w:val="20"/>
            <w:szCs w:val="20"/>
          </w:rPr>
          <w:t>Cocherel and Raynaud.</w:t>
        </w:r>
      </w:hyperlink>
    </w:p>
  </w:footnote>
  <w:footnote w:id="7">
    <w:p w14:paraId="484AFD6F" w14:textId="77777777" w:rsidR="00C33E66" w:rsidRPr="00DE2717" w:rsidRDefault="00C33E66" w:rsidP="00F708E2">
      <w:pPr>
        <w:pStyle w:val="FootnoteText"/>
        <w:rPr>
          <w:rFonts w:ascii="Times" w:hAnsi="Times"/>
          <w:sz w:val="20"/>
          <w:szCs w:val="20"/>
        </w:rPr>
      </w:pPr>
      <w:r w:rsidRPr="00DE2717">
        <w:rPr>
          <w:rStyle w:val="FootnoteReference"/>
          <w:rFonts w:ascii="Times" w:hAnsi="Times"/>
          <w:sz w:val="20"/>
          <w:szCs w:val="20"/>
        </w:rPr>
        <w:footnoteRef/>
      </w:r>
      <w:r w:rsidRPr="00DE2717">
        <w:rPr>
          <w:rFonts w:ascii="Times" w:hAnsi="Times"/>
          <w:sz w:val="20"/>
          <w:szCs w:val="20"/>
        </w:rPr>
        <w:t xml:space="preserve"> </w:t>
      </w:r>
      <w:hyperlink r:id="rId11" w:history="1">
        <w:r w:rsidRPr="00DE2717">
          <w:rPr>
            <w:rStyle w:val="Hyperlink"/>
            <w:rFonts w:ascii="Times" w:hAnsi="Times"/>
            <w:sz w:val="20"/>
            <w:szCs w:val="20"/>
          </w:rPr>
          <w:t>Gouy d’Arsy.</w:t>
        </w:r>
      </w:hyperlink>
    </w:p>
  </w:footnote>
  <w:footnote w:id="8">
    <w:p w14:paraId="2A3E38FC" w14:textId="77777777" w:rsidR="00C33E66" w:rsidRPr="00DE2717" w:rsidRDefault="00C33E66" w:rsidP="00661942">
      <w:pPr>
        <w:pStyle w:val="FootnoteText"/>
        <w:rPr>
          <w:rFonts w:ascii="Times" w:hAnsi="Times"/>
          <w:sz w:val="20"/>
          <w:szCs w:val="20"/>
        </w:rPr>
      </w:pPr>
      <w:r w:rsidRPr="00DE2717">
        <w:rPr>
          <w:rStyle w:val="FootnoteReference"/>
          <w:rFonts w:ascii="Times" w:hAnsi="Times"/>
          <w:sz w:val="20"/>
          <w:szCs w:val="20"/>
        </w:rPr>
        <w:footnoteRef/>
      </w:r>
      <w:r w:rsidRPr="00DE2717">
        <w:rPr>
          <w:rFonts w:ascii="Times" w:hAnsi="Times"/>
          <w:sz w:val="20"/>
          <w:szCs w:val="20"/>
        </w:rPr>
        <w:t xml:space="preserve"> </w:t>
      </w:r>
      <w:hyperlink r:id="rId12" w:history="1">
        <w:r w:rsidRPr="00DE2717">
          <w:rPr>
            <w:rStyle w:val="Hyperlink"/>
            <w:rFonts w:ascii="Times" w:hAnsi="Times"/>
            <w:sz w:val="20"/>
            <w:szCs w:val="20"/>
          </w:rPr>
          <w:t>Cocherel II.</w:t>
        </w:r>
      </w:hyperlink>
      <w:r w:rsidRPr="00DE2717">
        <w:rPr>
          <w:rFonts w:ascii="Times" w:hAnsi="Times"/>
          <w:sz w:val="20"/>
          <w:szCs w:val="20"/>
        </w:rPr>
        <w:t xml:space="preserve"> </w:t>
      </w:r>
    </w:p>
  </w:footnote>
  <w:footnote w:id="9">
    <w:p w14:paraId="2E5D9AE0" w14:textId="77777777" w:rsidR="00C33E66" w:rsidRPr="00DE2717" w:rsidRDefault="00C33E66" w:rsidP="005D4153">
      <w:pPr>
        <w:pStyle w:val="FootnoteText"/>
        <w:rPr>
          <w:rFonts w:ascii="Times" w:hAnsi="Times"/>
          <w:sz w:val="20"/>
          <w:szCs w:val="20"/>
        </w:rPr>
      </w:pPr>
      <w:r w:rsidRPr="00DE2717">
        <w:rPr>
          <w:rStyle w:val="FootnoteReference"/>
          <w:rFonts w:ascii="Times" w:hAnsi="Times"/>
          <w:sz w:val="20"/>
          <w:szCs w:val="20"/>
        </w:rPr>
        <w:footnoteRef/>
      </w:r>
      <w:r w:rsidRPr="00DE2717">
        <w:rPr>
          <w:rFonts w:ascii="Times" w:hAnsi="Times"/>
          <w:sz w:val="20"/>
          <w:szCs w:val="20"/>
        </w:rPr>
        <w:t xml:space="preserve"> </w:t>
      </w:r>
      <w:hyperlink r:id="rId13" w:history="1">
        <w:r w:rsidRPr="00DE2717">
          <w:rPr>
            <w:rStyle w:val="Hyperlink"/>
            <w:rFonts w:ascii="Times" w:hAnsi="Times"/>
            <w:sz w:val="20"/>
            <w:szCs w:val="20"/>
          </w:rPr>
          <w:t>Réplique</w:t>
        </w:r>
      </w:hyperlink>
      <w:r w:rsidRPr="00DE2717">
        <w:rPr>
          <w:rFonts w:ascii="Times" w:hAnsi="Times"/>
          <w:sz w:val="20"/>
          <w:szCs w:val="20"/>
        </w:rPr>
        <w:t>.</w:t>
      </w:r>
    </w:p>
  </w:footnote>
  <w:footnote w:id="10">
    <w:p w14:paraId="15B70332" w14:textId="26A06D3B" w:rsidR="00C33E66" w:rsidRPr="00DE2717" w:rsidRDefault="00C33E66">
      <w:pPr>
        <w:pStyle w:val="FootnoteText"/>
        <w:rPr>
          <w:rFonts w:ascii="Times" w:hAnsi="Times"/>
          <w:sz w:val="20"/>
          <w:szCs w:val="20"/>
        </w:rPr>
      </w:pPr>
      <w:r w:rsidRPr="00DE2717">
        <w:rPr>
          <w:rStyle w:val="FootnoteReference"/>
          <w:rFonts w:ascii="Times" w:hAnsi="Times"/>
          <w:sz w:val="20"/>
          <w:szCs w:val="20"/>
        </w:rPr>
        <w:footnoteRef/>
      </w:r>
      <w:r w:rsidRPr="00DE2717">
        <w:rPr>
          <w:rFonts w:ascii="Times" w:hAnsi="Times"/>
          <w:sz w:val="20"/>
          <w:szCs w:val="20"/>
        </w:rPr>
        <w:t xml:space="preserve"> </w:t>
      </w:r>
      <w:hyperlink r:id="rId14" w:history="1">
        <w:r w:rsidRPr="00DE2717">
          <w:rPr>
            <w:rStyle w:val="Hyperlink"/>
            <w:rFonts w:ascii="Times" w:hAnsi="Times"/>
            <w:sz w:val="20"/>
            <w:szCs w:val="20"/>
          </w:rPr>
          <w:t>State of Slaves</w:t>
        </w:r>
      </w:hyperlink>
      <w:r w:rsidRPr="00DE2717">
        <w:rPr>
          <w:rFonts w:ascii="Times" w:hAnsi="Times"/>
          <w:sz w:val="20"/>
          <w:szCs w:val="20"/>
        </w:rPr>
        <w:t>.</w:t>
      </w:r>
    </w:p>
  </w:footnote>
  <w:footnote w:id="11">
    <w:p w14:paraId="2DFFA41D" w14:textId="77777777" w:rsidR="00C33E66" w:rsidRPr="00DE2717" w:rsidRDefault="00C33E66" w:rsidP="001D1F6B">
      <w:pPr>
        <w:pStyle w:val="FootnoteText"/>
        <w:rPr>
          <w:rFonts w:ascii="Times" w:hAnsi="Times"/>
          <w:sz w:val="20"/>
          <w:szCs w:val="20"/>
        </w:rPr>
      </w:pPr>
      <w:r w:rsidRPr="00DE2717">
        <w:rPr>
          <w:rStyle w:val="FootnoteReference"/>
          <w:rFonts w:ascii="Times" w:hAnsi="Times"/>
          <w:sz w:val="20"/>
          <w:szCs w:val="20"/>
        </w:rPr>
        <w:footnoteRef/>
      </w:r>
      <w:r w:rsidRPr="00DE2717">
        <w:rPr>
          <w:rFonts w:ascii="Times" w:hAnsi="Times"/>
          <w:sz w:val="20"/>
          <w:szCs w:val="20"/>
        </w:rPr>
        <w:t xml:space="preserve"> </w:t>
      </w:r>
      <w:hyperlink r:id="rId15" w:history="1">
        <w:r w:rsidRPr="00DE2717">
          <w:rPr>
            <w:rStyle w:val="Hyperlink"/>
            <w:rFonts w:ascii="Times" w:hAnsi="Times"/>
            <w:sz w:val="20"/>
            <w:szCs w:val="20"/>
          </w:rPr>
          <w:t>Judgment Sep</w:t>
        </w:r>
      </w:hyperlink>
      <w:r w:rsidRPr="00DE2717">
        <w:rPr>
          <w:rFonts w:ascii="Times" w:hAnsi="Times"/>
          <w:sz w:val="20"/>
          <w:szCs w:val="20"/>
        </w:rPr>
        <w:t xml:space="preserve">.; </w:t>
      </w:r>
      <w:hyperlink r:id="rId16" w:history="1">
        <w:r w:rsidRPr="00DE2717">
          <w:rPr>
            <w:rStyle w:val="Hyperlink"/>
            <w:rFonts w:ascii="Times" w:hAnsi="Times"/>
            <w:sz w:val="20"/>
            <w:szCs w:val="20"/>
          </w:rPr>
          <w:t>Judgment Aug.</w:t>
        </w:r>
      </w:hyperlink>
    </w:p>
  </w:footnote>
  <w:footnote w:id="12">
    <w:p w14:paraId="00FDFA59" w14:textId="244D4FE4" w:rsidR="00C33E66" w:rsidRPr="00DE2717" w:rsidRDefault="00C33E66">
      <w:pPr>
        <w:pStyle w:val="FootnoteText"/>
        <w:rPr>
          <w:rFonts w:ascii="Times" w:hAnsi="Times"/>
          <w:sz w:val="20"/>
          <w:szCs w:val="20"/>
        </w:rPr>
      </w:pPr>
      <w:r w:rsidRPr="00DE2717">
        <w:rPr>
          <w:rStyle w:val="FootnoteReference"/>
          <w:rFonts w:ascii="Times" w:hAnsi="Times"/>
          <w:sz w:val="20"/>
          <w:szCs w:val="20"/>
        </w:rPr>
        <w:footnoteRef/>
      </w:r>
      <w:r w:rsidRPr="00DE2717">
        <w:rPr>
          <w:rFonts w:ascii="Times" w:hAnsi="Times"/>
          <w:sz w:val="20"/>
          <w:szCs w:val="20"/>
        </w:rPr>
        <w:t xml:space="preserve"> </w:t>
      </w:r>
      <w:hyperlink r:id="rId17" w:history="1">
        <w:r w:rsidRPr="00DE2717">
          <w:rPr>
            <w:rStyle w:val="Hyperlink"/>
            <w:rFonts w:ascii="Times" w:hAnsi="Times"/>
            <w:sz w:val="20"/>
            <w:szCs w:val="20"/>
          </w:rPr>
          <w:t>Introduction 1.0</w:t>
        </w:r>
      </w:hyperlink>
      <w:r w:rsidRPr="00DE2717">
        <w:rPr>
          <w:rFonts w:ascii="Times" w:hAnsi="Times"/>
          <w:sz w:val="20"/>
          <w:szCs w:val="20"/>
        </w:rPr>
        <w:t>.</w:t>
      </w:r>
    </w:p>
  </w:footnote>
  <w:footnote w:id="13">
    <w:p w14:paraId="54097FB0" w14:textId="694E6AF9" w:rsidR="00C33E66" w:rsidRDefault="00C33E66">
      <w:pPr>
        <w:pStyle w:val="FootnoteText"/>
      </w:pPr>
      <w:r w:rsidRPr="00DE2717">
        <w:rPr>
          <w:rStyle w:val="FootnoteReference"/>
          <w:rFonts w:ascii="Times" w:hAnsi="Times"/>
          <w:sz w:val="20"/>
          <w:szCs w:val="20"/>
        </w:rPr>
        <w:footnoteRef/>
      </w:r>
      <w:r w:rsidRPr="00DE2717">
        <w:rPr>
          <w:rFonts w:ascii="Times" w:hAnsi="Times"/>
          <w:sz w:val="20"/>
          <w:szCs w:val="20"/>
        </w:rPr>
        <w:t xml:space="preserve"> </w:t>
      </w:r>
      <w:hyperlink r:id="rId18" w:history="1">
        <w:r w:rsidRPr="00DE2717">
          <w:rPr>
            <w:rStyle w:val="Hyperlink"/>
            <w:rFonts w:ascii="Times" w:hAnsi="Times"/>
            <w:sz w:val="20"/>
            <w:szCs w:val="20"/>
          </w:rPr>
          <w:t>About</w:t>
        </w:r>
      </w:hyperlink>
      <w:r w:rsidRPr="00DE2717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 </w:t>
      </w:r>
      <w:hyperlink r:id="rId19" w:history="1">
        <w:r w:rsidRPr="00571C8D">
          <w:rPr>
            <w:rStyle w:val="Hyperlink"/>
            <w:rFonts w:ascii="Times" w:hAnsi="Times"/>
            <w:sz w:val="20"/>
            <w:szCs w:val="20"/>
          </w:rPr>
          <w:t>Haiti Lab</w:t>
        </w:r>
      </w:hyperlink>
      <w:r>
        <w:rPr>
          <w:rFonts w:ascii="Times" w:hAnsi="Times"/>
          <w:sz w:val="20"/>
          <w:szCs w:val="20"/>
        </w:rPr>
        <w:t xml:space="preserve"> gathers an important group of these projects.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C4C4C"/>
    <w:multiLevelType w:val="hybridMultilevel"/>
    <w:tmpl w:val="5A76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E2C02"/>
    <w:multiLevelType w:val="hybridMultilevel"/>
    <w:tmpl w:val="5AEEC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06400"/>
    <w:multiLevelType w:val="hybridMultilevel"/>
    <w:tmpl w:val="0636B1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F89"/>
    <w:rsid w:val="00001716"/>
    <w:rsid w:val="00004A68"/>
    <w:rsid w:val="00016D80"/>
    <w:rsid w:val="00051CDC"/>
    <w:rsid w:val="0005266E"/>
    <w:rsid w:val="00061BEB"/>
    <w:rsid w:val="00072C24"/>
    <w:rsid w:val="00073404"/>
    <w:rsid w:val="00085A5E"/>
    <w:rsid w:val="00087FA4"/>
    <w:rsid w:val="0009466F"/>
    <w:rsid w:val="00096929"/>
    <w:rsid w:val="00097814"/>
    <w:rsid w:val="00097D22"/>
    <w:rsid w:val="000A4C20"/>
    <w:rsid w:val="000B4747"/>
    <w:rsid w:val="000B59BF"/>
    <w:rsid w:val="000B691A"/>
    <w:rsid w:val="000C405A"/>
    <w:rsid w:val="000C40BC"/>
    <w:rsid w:val="000C5BF6"/>
    <w:rsid w:val="000C7653"/>
    <w:rsid w:val="000D7EDA"/>
    <w:rsid w:val="000E09B1"/>
    <w:rsid w:val="000E2E17"/>
    <w:rsid w:val="000F2406"/>
    <w:rsid w:val="000F5DA0"/>
    <w:rsid w:val="0011779E"/>
    <w:rsid w:val="0013788A"/>
    <w:rsid w:val="00137E75"/>
    <w:rsid w:val="001403CA"/>
    <w:rsid w:val="00143361"/>
    <w:rsid w:val="00144709"/>
    <w:rsid w:val="00144D62"/>
    <w:rsid w:val="0014551D"/>
    <w:rsid w:val="00164257"/>
    <w:rsid w:val="0017341C"/>
    <w:rsid w:val="00173BC1"/>
    <w:rsid w:val="00196F3E"/>
    <w:rsid w:val="001A156E"/>
    <w:rsid w:val="001A4968"/>
    <w:rsid w:val="001C5A0A"/>
    <w:rsid w:val="001C7DAC"/>
    <w:rsid w:val="001D1F6B"/>
    <w:rsid w:val="001D3252"/>
    <w:rsid w:val="001E779F"/>
    <w:rsid w:val="001F36A0"/>
    <w:rsid w:val="00202085"/>
    <w:rsid w:val="00204AA9"/>
    <w:rsid w:val="00206989"/>
    <w:rsid w:val="00212F62"/>
    <w:rsid w:val="0023070E"/>
    <w:rsid w:val="00232FD0"/>
    <w:rsid w:val="002367B0"/>
    <w:rsid w:val="0025424C"/>
    <w:rsid w:val="00262B3C"/>
    <w:rsid w:val="0028767B"/>
    <w:rsid w:val="00292422"/>
    <w:rsid w:val="00292BCB"/>
    <w:rsid w:val="00297C51"/>
    <w:rsid w:val="002A009E"/>
    <w:rsid w:val="002A13B0"/>
    <w:rsid w:val="002B1C38"/>
    <w:rsid w:val="002B3640"/>
    <w:rsid w:val="002C2591"/>
    <w:rsid w:val="002C34A1"/>
    <w:rsid w:val="002C57EA"/>
    <w:rsid w:val="002D53CD"/>
    <w:rsid w:val="003011A2"/>
    <w:rsid w:val="0030512E"/>
    <w:rsid w:val="003147E1"/>
    <w:rsid w:val="0032127D"/>
    <w:rsid w:val="003278EA"/>
    <w:rsid w:val="00333382"/>
    <w:rsid w:val="00333D2F"/>
    <w:rsid w:val="0034217F"/>
    <w:rsid w:val="00345F40"/>
    <w:rsid w:val="00351071"/>
    <w:rsid w:val="00364BF4"/>
    <w:rsid w:val="0036630E"/>
    <w:rsid w:val="00373797"/>
    <w:rsid w:val="003811CA"/>
    <w:rsid w:val="0039441A"/>
    <w:rsid w:val="003B0272"/>
    <w:rsid w:val="003B05DC"/>
    <w:rsid w:val="003B4424"/>
    <w:rsid w:val="003D5B37"/>
    <w:rsid w:val="003E13A5"/>
    <w:rsid w:val="003E1886"/>
    <w:rsid w:val="003F1B80"/>
    <w:rsid w:val="003F632F"/>
    <w:rsid w:val="00400439"/>
    <w:rsid w:val="00400DD0"/>
    <w:rsid w:val="00405D7C"/>
    <w:rsid w:val="004128A2"/>
    <w:rsid w:val="004169B0"/>
    <w:rsid w:val="004229D7"/>
    <w:rsid w:val="00425771"/>
    <w:rsid w:val="0043657E"/>
    <w:rsid w:val="00441883"/>
    <w:rsid w:val="00444D9A"/>
    <w:rsid w:val="004463B9"/>
    <w:rsid w:val="004476F0"/>
    <w:rsid w:val="00452C9A"/>
    <w:rsid w:val="00467F89"/>
    <w:rsid w:val="00484DE0"/>
    <w:rsid w:val="00485C61"/>
    <w:rsid w:val="004868F3"/>
    <w:rsid w:val="00490381"/>
    <w:rsid w:val="00494E5A"/>
    <w:rsid w:val="004952B5"/>
    <w:rsid w:val="004A1AC4"/>
    <w:rsid w:val="004C3B2A"/>
    <w:rsid w:val="004C7DBF"/>
    <w:rsid w:val="004E4AD5"/>
    <w:rsid w:val="004F56E1"/>
    <w:rsid w:val="005039C0"/>
    <w:rsid w:val="0050482A"/>
    <w:rsid w:val="0051187A"/>
    <w:rsid w:val="0052137F"/>
    <w:rsid w:val="0052459E"/>
    <w:rsid w:val="00533E37"/>
    <w:rsid w:val="00534BFC"/>
    <w:rsid w:val="005374B3"/>
    <w:rsid w:val="00544131"/>
    <w:rsid w:val="00544844"/>
    <w:rsid w:val="00552710"/>
    <w:rsid w:val="00571C8D"/>
    <w:rsid w:val="00572803"/>
    <w:rsid w:val="00581567"/>
    <w:rsid w:val="005837BE"/>
    <w:rsid w:val="00584BB5"/>
    <w:rsid w:val="00586EA8"/>
    <w:rsid w:val="005918D9"/>
    <w:rsid w:val="005925EB"/>
    <w:rsid w:val="005B31BE"/>
    <w:rsid w:val="005C1EBA"/>
    <w:rsid w:val="005C31D6"/>
    <w:rsid w:val="005C4B87"/>
    <w:rsid w:val="005D4153"/>
    <w:rsid w:val="005D7583"/>
    <w:rsid w:val="005D7ED1"/>
    <w:rsid w:val="005E4E69"/>
    <w:rsid w:val="005E5E60"/>
    <w:rsid w:val="005F1F98"/>
    <w:rsid w:val="005F74A8"/>
    <w:rsid w:val="006030ED"/>
    <w:rsid w:val="00604A2B"/>
    <w:rsid w:val="00620E0F"/>
    <w:rsid w:val="006245B7"/>
    <w:rsid w:val="00631F57"/>
    <w:rsid w:val="00640E7B"/>
    <w:rsid w:val="00653377"/>
    <w:rsid w:val="00655628"/>
    <w:rsid w:val="00661942"/>
    <w:rsid w:val="00664AFF"/>
    <w:rsid w:val="006668A0"/>
    <w:rsid w:val="00667068"/>
    <w:rsid w:val="00667455"/>
    <w:rsid w:val="006707CB"/>
    <w:rsid w:val="00671CFD"/>
    <w:rsid w:val="00682755"/>
    <w:rsid w:val="0068450E"/>
    <w:rsid w:val="006A0EB6"/>
    <w:rsid w:val="006A2DC8"/>
    <w:rsid w:val="006A2E6F"/>
    <w:rsid w:val="006C17C9"/>
    <w:rsid w:val="006C6595"/>
    <w:rsid w:val="006D344A"/>
    <w:rsid w:val="006E1579"/>
    <w:rsid w:val="006F0E85"/>
    <w:rsid w:val="0071674D"/>
    <w:rsid w:val="007207B2"/>
    <w:rsid w:val="00725730"/>
    <w:rsid w:val="00731E5C"/>
    <w:rsid w:val="0074783D"/>
    <w:rsid w:val="00747D91"/>
    <w:rsid w:val="007676C9"/>
    <w:rsid w:val="0077125D"/>
    <w:rsid w:val="00771E54"/>
    <w:rsid w:val="007764EC"/>
    <w:rsid w:val="00777D62"/>
    <w:rsid w:val="00791619"/>
    <w:rsid w:val="00791D68"/>
    <w:rsid w:val="007926FB"/>
    <w:rsid w:val="007B33EF"/>
    <w:rsid w:val="007B39FA"/>
    <w:rsid w:val="007C1CBF"/>
    <w:rsid w:val="007D7409"/>
    <w:rsid w:val="007E3A2F"/>
    <w:rsid w:val="007E49A6"/>
    <w:rsid w:val="007F2DC3"/>
    <w:rsid w:val="007F3D0D"/>
    <w:rsid w:val="00816FE0"/>
    <w:rsid w:val="00830993"/>
    <w:rsid w:val="00830A11"/>
    <w:rsid w:val="0083226E"/>
    <w:rsid w:val="00842488"/>
    <w:rsid w:val="00857CB6"/>
    <w:rsid w:val="008607C5"/>
    <w:rsid w:val="00871467"/>
    <w:rsid w:val="00873242"/>
    <w:rsid w:val="0087468C"/>
    <w:rsid w:val="00874FBD"/>
    <w:rsid w:val="00877B98"/>
    <w:rsid w:val="00882482"/>
    <w:rsid w:val="008929F1"/>
    <w:rsid w:val="008935F4"/>
    <w:rsid w:val="0089559A"/>
    <w:rsid w:val="008C183F"/>
    <w:rsid w:val="008D2AAA"/>
    <w:rsid w:val="008D4B08"/>
    <w:rsid w:val="008E42F2"/>
    <w:rsid w:val="008E4347"/>
    <w:rsid w:val="008F5B27"/>
    <w:rsid w:val="00902EF6"/>
    <w:rsid w:val="009200A4"/>
    <w:rsid w:val="00924652"/>
    <w:rsid w:val="00926451"/>
    <w:rsid w:val="00930006"/>
    <w:rsid w:val="00931FD9"/>
    <w:rsid w:val="00937E82"/>
    <w:rsid w:val="00943C66"/>
    <w:rsid w:val="00971F07"/>
    <w:rsid w:val="009757EB"/>
    <w:rsid w:val="00985B7E"/>
    <w:rsid w:val="00991263"/>
    <w:rsid w:val="009932CF"/>
    <w:rsid w:val="009A3484"/>
    <w:rsid w:val="009A61D6"/>
    <w:rsid w:val="009A7BDC"/>
    <w:rsid w:val="009B0C1B"/>
    <w:rsid w:val="009B5451"/>
    <w:rsid w:val="009B5D38"/>
    <w:rsid w:val="009C0E07"/>
    <w:rsid w:val="009C4CE4"/>
    <w:rsid w:val="009C5342"/>
    <w:rsid w:val="009D2D2D"/>
    <w:rsid w:val="009D6BC5"/>
    <w:rsid w:val="009D73CA"/>
    <w:rsid w:val="009E13EF"/>
    <w:rsid w:val="009E1C4D"/>
    <w:rsid w:val="009F0E01"/>
    <w:rsid w:val="00A006E6"/>
    <w:rsid w:val="00A0734B"/>
    <w:rsid w:val="00A13A41"/>
    <w:rsid w:val="00A265E2"/>
    <w:rsid w:val="00A32B26"/>
    <w:rsid w:val="00A373D5"/>
    <w:rsid w:val="00A401A8"/>
    <w:rsid w:val="00A64D21"/>
    <w:rsid w:val="00A66958"/>
    <w:rsid w:val="00A724FC"/>
    <w:rsid w:val="00A74343"/>
    <w:rsid w:val="00A75B22"/>
    <w:rsid w:val="00A84955"/>
    <w:rsid w:val="00A85704"/>
    <w:rsid w:val="00AA0658"/>
    <w:rsid w:val="00AA345E"/>
    <w:rsid w:val="00AA5747"/>
    <w:rsid w:val="00AA6A9C"/>
    <w:rsid w:val="00AF0B22"/>
    <w:rsid w:val="00B025FB"/>
    <w:rsid w:val="00B03BC6"/>
    <w:rsid w:val="00B1034C"/>
    <w:rsid w:val="00B11A7B"/>
    <w:rsid w:val="00B14A48"/>
    <w:rsid w:val="00B2014A"/>
    <w:rsid w:val="00B34E2C"/>
    <w:rsid w:val="00B3703E"/>
    <w:rsid w:val="00B423A2"/>
    <w:rsid w:val="00B443F1"/>
    <w:rsid w:val="00B469FB"/>
    <w:rsid w:val="00B53830"/>
    <w:rsid w:val="00B53E13"/>
    <w:rsid w:val="00B65409"/>
    <w:rsid w:val="00B71FB9"/>
    <w:rsid w:val="00B74237"/>
    <w:rsid w:val="00B82458"/>
    <w:rsid w:val="00B96546"/>
    <w:rsid w:val="00BA6250"/>
    <w:rsid w:val="00BB76ED"/>
    <w:rsid w:val="00BC2E2B"/>
    <w:rsid w:val="00BE6C77"/>
    <w:rsid w:val="00BF3597"/>
    <w:rsid w:val="00C14408"/>
    <w:rsid w:val="00C21976"/>
    <w:rsid w:val="00C21C01"/>
    <w:rsid w:val="00C25F39"/>
    <w:rsid w:val="00C33E66"/>
    <w:rsid w:val="00C40808"/>
    <w:rsid w:val="00C4529C"/>
    <w:rsid w:val="00C51A3E"/>
    <w:rsid w:val="00C525FD"/>
    <w:rsid w:val="00C6051F"/>
    <w:rsid w:val="00C6186D"/>
    <w:rsid w:val="00C70577"/>
    <w:rsid w:val="00C749F6"/>
    <w:rsid w:val="00C74EC7"/>
    <w:rsid w:val="00C8127A"/>
    <w:rsid w:val="00C81E7B"/>
    <w:rsid w:val="00C93203"/>
    <w:rsid w:val="00CA490B"/>
    <w:rsid w:val="00CA735D"/>
    <w:rsid w:val="00CA7B2D"/>
    <w:rsid w:val="00CB1605"/>
    <w:rsid w:val="00CB409C"/>
    <w:rsid w:val="00CB746E"/>
    <w:rsid w:val="00CC0B5C"/>
    <w:rsid w:val="00CC36A9"/>
    <w:rsid w:val="00CC6905"/>
    <w:rsid w:val="00CD1C05"/>
    <w:rsid w:val="00CD41A6"/>
    <w:rsid w:val="00CD7997"/>
    <w:rsid w:val="00D0232D"/>
    <w:rsid w:val="00D03403"/>
    <w:rsid w:val="00D0730E"/>
    <w:rsid w:val="00D23DEA"/>
    <w:rsid w:val="00D243FF"/>
    <w:rsid w:val="00D5781B"/>
    <w:rsid w:val="00D636E1"/>
    <w:rsid w:val="00D67F90"/>
    <w:rsid w:val="00D7263D"/>
    <w:rsid w:val="00D74546"/>
    <w:rsid w:val="00D81878"/>
    <w:rsid w:val="00DB298B"/>
    <w:rsid w:val="00DC2050"/>
    <w:rsid w:val="00DD5EAE"/>
    <w:rsid w:val="00DD7C50"/>
    <w:rsid w:val="00DE2717"/>
    <w:rsid w:val="00DE43A4"/>
    <w:rsid w:val="00DF4F7C"/>
    <w:rsid w:val="00DF5440"/>
    <w:rsid w:val="00E02BC1"/>
    <w:rsid w:val="00E03507"/>
    <w:rsid w:val="00E17E95"/>
    <w:rsid w:val="00E17FA5"/>
    <w:rsid w:val="00E209DD"/>
    <w:rsid w:val="00E21836"/>
    <w:rsid w:val="00E33A67"/>
    <w:rsid w:val="00E33C89"/>
    <w:rsid w:val="00E34993"/>
    <w:rsid w:val="00E50945"/>
    <w:rsid w:val="00E518EE"/>
    <w:rsid w:val="00E53413"/>
    <w:rsid w:val="00E63008"/>
    <w:rsid w:val="00E63F94"/>
    <w:rsid w:val="00E649C4"/>
    <w:rsid w:val="00E83A16"/>
    <w:rsid w:val="00E83ED9"/>
    <w:rsid w:val="00E8732D"/>
    <w:rsid w:val="00E91EEC"/>
    <w:rsid w:val="00EA64D8"/>
    <w:rsid w:val="00EB07AA"/>
    <w:rsid w:val="00EB0B60"/>
    <w:rsid w:val="00EB3917"/>
    <w:rsid w:val="00EB3B7C"/>
    <w:rsid w:val="00EB5F2B"/>
    <w:rsid w:val="00EE1D7F"/>
    <w:rsid w:val="00EE346D"/>
    <w:rsid w:val="00EF036A"/>
    <w:rsid w:val="00EF065A"/>
    <w:rsid w:val="00F031B5"/>
    <w:rsid w:val="00F03EA1"/>
    <w:rsid w:val="00F06DC7"/>
    <w:rsid w:val="00F06FE1"/>
    <w:rsid w:val="00F11A35"/>
    <w:rsid w:val="00F13BAC"/>
    <w:rsid w:val="00F20C7B"/>
    <w:rsid w:val="00F2128F"/>
    <w:rsid w:val="00F27717"/>
    <w:rsid w:val="00F27AB3"/>
    <w:rsid w:val="00F46E00"/>
    <w:rsid w:val="00F57195"/>
    <w:rsid w:val="00F645A3"/>
    <w:rsid w:val="00F66C83"/>
    <w:rsid w:val="00F70742"/>
    <w:rsid w:val="00F708E2"/>
    <w:rsid w:val="00F76262"/>
    <w:rsid w:val="00F7773D"/>
    <w:rsid w:val="00F87DFB"/>
    <w:rsid w:val="00F9422B"/>
    <w:rsid w:val="00FA3E54"/>
    <w:rsid w:val="00FC5A75"/>
    <w:rsid w:val="00FD1A47"/>
    <w:rsid w:val="00FD24B4"/>
    <w:rsid w:val="00FE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31A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DC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71E54"/>
  </w:style>
  <w:style w:type="character" w:customStyle="1" w:styleId="FootnoteTextChar">
    <w:name w:val="Footnote Text Char"/>
    <w:basedOn w:val="DefaultParagraphFont"/>
    <w:link w:val="FootnoteText"/>
    <w:uiPriority w:val="99"/>
    <w:rsid w:val="00771E54"/>
  </w:style>
  <w:style w:type="character" w:styleId="FootnoteReference">
    <w:name w:val="footnote reference"/>
    <w:basedOn w:val="DefaultParagraphFont"/>
    <w:uiPriority w:val="99"/>
    <w:unhideWhenUsed/>
    <w:rsid w:val="00771E5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F4F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DC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71E54"/>
  </w:style>
  <w:style w:type="character" w:customStyle="1" w:styleId="FootnoteTextChar">
    <w:name w:val="Footnote Text Char"/>
    <w:basedOn w:val="DefaultParagraphFont"/>
    <w:link w:val="FootnoteText"/>
    <w:uiPriority w:val="99"/>
    <w:rsid w:val="00771E54"/>
  </w:style>
  <w:style w:type="character" w:styleId="FootnoteReference">
    <w:name w:val="footnote reference"/>
    <w:basedOn w:val="DefaultParagraphFont"/>
    <w:uiPriority w:val="99"/>
    <w:unhideWhenUsed/>
    <w:rsid w:val="00771E5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F4F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rchive.org/index.php" TargetMode="External"/><Relationship Id="rId9" Type="http://schemas.openxmlformats.org/officeDocument/2006/relationships/hyperlink" Target="https://books.google.com.do/books?hl=es&amp;lr=&amp;id=MuwCAAAAYAAJ&amp;oi=fnd&amp;pg=PP5&amp;dq=antonio+sanchez+valverde&amp;ots=IJ3ojl_BON&amp;sig=XjnWlnKBs41Sg6_m1unUAFpiaKs" TargetMode="External"/><Relationship Id="rId10" Type="http://schemas.openxmlformats.org/officeDocument/2006/relationships/hyperlink" Target="http://socialtext.dukejournals.org/content/33/4_125.toc" TargetMode="External"/></Relationships>
</file>

<file path=word/_rels/footnotes.xml.rels><?xml version="1.0" encoding="UTF-8" standalone="yes"?>
<Relationships xmlns="http://schemas.openxmlformats.org/package/2006/relationships"><Relationship Id="rId11" Type="http://schemas.openxmlformats.org/officeDocument/2006/relationships/hyperlink" Target="http://colonyincrisis.lib.umd.edu/1789/09/09/summary-given-by-m-le-marquis-de-gouy-darsy/" TargetMode="External"/><Relationship Id="rId12" Type="http://schemas.openxmlformats.org/officeDocument/2006/relationships/hyperlink" Target="http://colonyincrisis.lib.umd.edu/1789/11/10/m-de-cocherels-reflections-deputy-of-saint-domingue-on-the-report-from-the-comite-des-six/" TargetMode="External"/><Relationship Id="rId13" Type="http://schemas.openxmlformats.org/officeDocument/2006/relationships/hyperlink" Target="http://colonyincrisis.lib.umd.edu/1789/11/11/supplement-to-the-counter-argument-from-the-deputies-of-french-manufacturers-and-commerce-to-the-deputies-of-saint-domingue/" TargetMode="External"/><Relationship Id="rId14" Type="http://schemas.openxmlformats.org/officeDocument/2006/relationships/hyperlink" Target="http://colonyincrisis.lib.umd.edu/1789/03/17/on-the-state-of-slaves/" TargetMode="External"/><Relationship Id="rId15" Type="http://schemas.openxmlformats.org/officeDocument/2006/relationships/hyperlink" Target="http://colonyincrisis.lib.umd.edu/1786/09/10/judgment-from-the-state-council-of-the-king-september-10-1786/" TargetMode="External"/><Relationship Id="rId16" Type="http://schemas.openxmlformats.org/officeDocument/2006/relationships/hyperlink" Target="http://colonyincrisis.lib.umd.edu/1784/08/30/judgment-from-the-state-council-of-the-king-concerning-foreign-commerce-in-the-french-isles-of-america-from-august-30-1784/" TargetMode="External"/><Relationship Id="rId17" Type="http://schemas.openxmlformats.org/officeDocument/2006/relationships/hyperlink" Target="http://colonyincrisis.lib.umd.edu/2014/09/12/issue-1-0-introduction/" TargetMode="External"/><Relationship Id="rId18" Type="http://schemas.openxmlformats.org/officeDocument/2006/relationships/hyperlink" Target="http://colonyincrisis.lib.umd.edu/about/" TargetMode="External"/><Relationship Id="rId19" Type="http://schemas.openxmlformats.org/officeDocument/2006/relationships/hyperlink" Target="http://www.fhi.duke.edu/labs/haiti-lab/online-projects" TargetMode="External"/><Relationship Id="rId1" Type="http://schemas.openxmlformats.org/officeDocument/2006/relationships/hyperlink" Target="http://colonyincrisis.lib.umd.edu/about/" TargetMode="External"/><Relationship Id="rId2" Type="http://schemas.openxmlformats.org/officeDocument/2006/relationships/hyperlink" Target="http://colonyincrisis.lib.umd.edu/the-team/revealing-la-revolution-team/" TargetMode="External"/><Relationship Id="rId3" Type="http://schemas.openxmlformats.org/officeDocument/2006/relationships/hyperlink" Target="http://haitianhistory.tumblr.com/post/136472549793/qa-with-a-colony-in-crisis" TargetMode="External"/><Relationship Id="rId4" Type="http://schemas.openxmlformats.org/officeDocument/2006/relationships/hyperlink" Target="http://colonyincrisis.lib.umd.edu/1789/11/10/m-de-cocherels-reflections-deputy-of-saint-domingue-on-the-report-from-the-comite-des-six/" TargetMode="External"/><Relationship Id="rId5" Type="http://schemas.openxmlformats.org/officeDocument/2006/relationships/hyperlink" Target="http://colonyincrisis.lib.umd.edu/1789/08/31/motion-from-m-le-comte-de-reynaud-deputy-of-saint-domingue-at-the-august-31-session/" TargetMode="External"/><Relationship Id="rId6" Type="http://schemas.openxmlformats.org/officeDocument/2006/relationships/hyperlink" Target="http://colonyincrisis.lib.umd.edu/1790/02/12/charges-of-fraud-the-obstinate-rebuttal-of-a-banished-intendant-concerning-the-grain-shortage-and-criminal-negligence/" TargetMode="External"/><Relationship Id="rId7" Type="http://schemas.openxmlformats.org/officeDocument/2006/relationships/hyperlink" Target="http://archive.org/stream/memoireetobserva00barb" TargetMode="External"/><Relationship Id="rId8" Type="http://schemas.openxmlformats.org/officeDocument/2006/relationships/hyperlink" Target="colonyincrisis.lib.umd.edu/1789/09/09/summary-given-by-m-le-marquis-de-gouy-darsy" TargetMode="External"/><Relationship Id="rId9" Type="http://schemas.openxmlformats.org/officeDocument/2006/relationships/hyperlink" Target="http://colonyincrisis.lib.umd.edu/1789/08/31/motion-from-m-le-comte-de-reynaud-deputy-of-saint-domingue-at-the-august-31-session/" TargetMode="External"/><Relationship Id="rId10" Type="http://schemas.openxmlformats.org/officeDocument/2006/relationships/hyperlink" Target="http://colonyincrisis.lib.umd.edu/1789/09/13/response-from-the-deputies-of-production-and-commerce-of-fr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1012</Words>
  <Characters>5764</Characters>
  <Application>Microsoft Macintosh Word</Application>
  <DocSecurity>0</DocSecurity>
  <Lines>84</Lines>
  <Paragraphs>8</Paragraphs>
  <ScaleCrop>false</ScaleCrop>
  <Company/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E.</dc:creator>
  <cp:keywords/>
  <dc:description/>
  <cp:lastModifiedBy>Anne E.</cp:lastModifiedBy>
  <cp:revision>424</cp:revision>
  <cp:lastPrinted>2016-02-17T00:01:00Z</cp:lastPrinted>
  <dcterms:created xsi:type="dcterms:W3CDTF">2016-02-15T21:24:00Z</dcterms:created>
  <dcterms:modified xsi:type="dcterms:W3CDTF">2016-02-17T01:56:00Z</dcterms:modified>
</cp:coreProperties>
</file>