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CARÁTULA, ÍNDICE Y SEPARADORES OFICIALES</w:t>
      </w:r>
    </w:p>
    <w:p>
      <w:pPr>
        <w:jc w:val="center"/>
        <w:spacing w:after="240"/>
      </w:pPr>
      <w:r>
        <w:rPr>
          <w:i/>
          <w:sz w:val="22"/>
          <w:color w:val="475569"/>
        </w:rPr>
        <w:t>Carpeta Principal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OBJETO Y ALCANCE</w:t>
      </w:r>
    </w:p>
    <w:p>
      <w:pPr>
        <w:jc w:val="both"/>
        <w:spacing w:after="120"/>
      </w:pPr>
      <w:r>
        <w:t>Establecer los lineamientos institucionales para carátula, índice y separadores oficiales en las unidades operativas.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MARCO DOCTRINARIO</w:t>
      </w:r>
    </w:p>
    <w:p>
      <w:pPr>
        <w:jc w:val="both"/>
        <w:spacing w:after="120"/>
      </w:pPr>
      <w:r>
        <w:t>Conforme a la Constitución Política del Estado, Ley Orgánica de las FF.AA. y Directivas del Ejército.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DESARROLLO TÉCNICO</w:t>
      </w:r>
    </w:p>
    <w:p>
      <w:pPr>
        <w:jc w:val="both"/>
        <w:spacing w:after="120"/>
      </w:pPr>
      <w:r>
        <w:t>Registro y cumplimiento estricto por parte del personal militar designado en la repartición.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4. DISPOSICIONES COMPLEMENTARIAS</w:t>
      </w:r>
    </w:p>
    <w:p>
      <w:pPr>
        <w:jc w:val="both"/>
        <w:spacing w:after="120"/>
      </w:pPr>
      <w:r>
        <w:t>Cualquier modificación debe ser refrendada por el escalón superior del Estado Mayor General.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