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NORMAS VIGENTES DE ACCIÓN (NVA)</w:t>
      </w:r>
    </w:p>
    <w:p>
      <w:pPr>
        <w:jc w:val="center"/>
        <w:spacing w:after="240"/>
      </w:pPr>
      <w:r>
        <w:rPr>
          <w:i/>
          <w:sz w:val="22"/>
          <w:color w:val="475569"/>
        </w:rPr>
        <w:t>Procedimientos Operativos Estandarizados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normas vigentes de acción (nva)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