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PLAN ANUAL DE ACTIVIDADES Y CAPACITACIÓN</w:t>
      </w:r>
    </w:p>
    <w:p>
      <w:pPr>
        <w:jc w:val="center"/>
        <w:spacing w:after="240"/>
      </w:pPr>
      <w:r>
        <w:rPr>
          <w:i/>
          <w:sz w:val="22"/>
          <w:color w:val="475569"/>
        </w:rPr>
        <w:t>Cronograma Institucional de Talleres y Seminarios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plan anual de actividades y capacitación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