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INFORME DE CONDICIONES DEL PERSONAL FEMENINO</w:t>
      </w:r>
    </w:p>
    <w:p>
      <w:pPr>
        <w:jc w:val="center"/>
        <w:spacing w:after="240"/>
      </w:pPr>
      <w:r>
        <w:rPr>
          <w:i/>
          <w:sz w:val="22"/>
          <w:color w:val="475569"/>
        </w:rPr>
        <w:t>Evaluación de Infraestructura y Régimen de Servicio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OBJETO Y ALCANCE</w:t>
      </w:r>
    </w:p>
    <w:p>
      <w:pPr>
        <w:jc w:val="both"/>
        <w:spacing w:after="120"/>
      </w:pPr>
      <w:r>
        <w:t>Establecer los lineamientos institucionales para informe de condiciones del personal femenino en las unidades operativas.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MARCO DOCTRINARIO</w:t>
      </w:r>
    </w:p>
    <w:p>
      <w:pPr>
        <w:jc w:val="both"/>
        <w:spacing w:after="120"/>
      </w:pPr>
      <w:r>
        <w:t>Conforme a la Constitución Política del Estado, Ley Orgánica de las FF.AA. y Directivas del Ejército.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DESARROLLO TÉCNICO</w:t>
      </w:r>
    </w:p>
    <w:p>
      <w:pPr>
        <w:jc w:val="both"/>
        <w:spacing w:after="120"/>
      </w:pPr>
      <w:r>
        <w:t>Registro y cumplimiento estricto por parte del personal militar designado en la repartición.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4. DISPOSICIONES COMPLEMENTARIAS</w:t>
      </w:r>
    </w:p>
    <w:p>
      <w:pPr>
        <w:jc w:val="both"/>
        <w:spacing w:after="120"/>
      </w:pPr>
      <w:r>
        <w:t>Cualquier modificación debe ser refrendada por el escalón superior del Estado Mayor General.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