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ANEXO B: FORMULARIO DE PARTE DE INCIDENTE DE GÉNERO</w:t>
      </w:r>
    </w:p>
    <w:p>
      <w:pPr>
        <w:jc w:val="center"/>
        <w:spacing w:after="240"/>
      </w:pPr>
      <w:r>
        <w:rPr>
          <w:i/>
          <w:sz w:val="22"/>
          <w:color w:val="475569"/>
        </w:rPr>
        <w:t>Normativa Oficial — Sección de Género y Derechos Humanos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DESTINATARIO</w:t>
      </w:r>
    </w:p>
    <w:p>
      <w:pPr>
        <w:jc w:val="both"/>
        <w:spacing w:after="120"/>
      </w:pPr>
      <w:r>
        <w:t>A: SEÑOR COMANDANTE DE LA GRAN UNIDAD / INSPECTOR DIVISIONARIO
DE: LA/EL OFICIAL DE GÉNERO Y DERECHOS HUMANOS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OBJETO</w:t>
      </w:r>
    </w:p>
    <w:p>
      <w:pPr>
        <w:jc w:val="both"/>
        <w:spacing w:after="120"/>
      </w:pPr>
      <w:r>
        <w:t>Elevar Parte Circunstanciado de Incidente de Género registrado en la jurisdicción militar.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ANTECEDENTES</w:t>
      </w:r>
    </w:p>
    <w:p>
      <w:pPr>
        <w:jc w:val="both"/>
        <w:spacing w:after="120"/>
      </w:pPr>
      <w:r>
        <w:t>En fecha _____ de _________________ de 2026, se recepcionó la denuncia formal correspondiente al expediente disciplinario en referencia.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MEDIDAS PRECAUTORIAS ADOPTADAS (PLAZO 48 HORAS)</w:t>
      </w:r>
    </w:p>
    <w:p>
      <w:pPr>
        <w:jc w:val="both"/>
        <w:spacing w:after="120"/>
      </w:pPr>
      <w:r>
        <w:t>Separación de ambientes de servicio y relevo de funciones de supervisión directa entre las partes involucradas.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EVALUACIÓN Y DERIVACIÓN</w:t>
      </w:r>
    </w:p>
    <w:p>
      <w:pPr>
        <w:jc w:val="both"/>
        <w:spacing w:after="120"/>
      </w:pPr>
      <w:r>
        <w:t>Se dispone la remisión de obrados para la apertura del sumario investigativo militar y la notificación a las partes.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