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ANEXO C: GUÍA DE ENTREVISTA A LA PERSONA AFECTADA</w:t>
      </w:r>
    </w:p>
    <w:p>
      <w:pPr>
        <w:jc w:val="center"/>
        <w:spacing w:after="240"/>
      </w:pPr>
      <w:r>
        <w:rPr>
          <w:i/>
          <w:sz w:val="22"/>
          <w:color w:val="475569"/>
        </w:rPr>
        <w:t>Normativa Oficial — Sección de Género y Derechos Humanos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CRITERIOS TÉCNICOS</w:t>
      </w:r>
    </w:p>
    <w:p>
      <w:pPr>
        <w:jc w:val="both"/>
        <w:spacing w:after="120"/>
      </w:pPr>
      <w:r>
        <w:t>Desarrollar la sesión en ambiente privado, asegurando contención emocional y confidencialidad absoluta.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1. PREGUNTAS DE APERTURA</w:t>
      </w:r>
    </w:p>
    <w:p>
      <w:pPr>
        <w:jc w:val="both"/>
        <w:spacing w:after="120"/>
      </w:pPr>
      <w:r>
        <w:t>Explique el motivo de su comparecencia y describa en qué condiciones se encontraba prestando servicios.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2. DELIMITACIÓN FÁCTICA</w:t>
      </w:r>
    </w:p>
    <w:p>
      <w:pPr>
        <w:jc w:val="both"/>
        <w:spacing w:after="120"/>
      </w:pPr>
      <w:r>
        <w:t>Detalle cronológico de las conductas observadas, lugares específicos y reacciones inmediatas.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3. CIERRE Y CONSTANCIA</w:t>
      </w:r>
    </w:p>
    <w:p>
      <w:pPr>
        <w:jc w:val="both"/>
        <w:spacing w:after="120"/>
      </w:pPr>
      <w:r>
        <w:t>Lectura íntegra del acta en presencia de la persona entrevistada y suscripción de conformidad.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