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ANEXO D: ACTA DE NOTIFICACIÓN Y ACEPTACIÓN DE MEDIDAS PRECAUTORIAS</w:t>
      </w:r>
    </w:p>
    <w:p>
      <w:pPr>
        <w:jc w:val="center"/>
        <w:spacing w:after="240"/>
      </w:pPr>
      <w:r>
        <w:rPr>
          <w:i/>
          <w:sz w:val="22"/>
          <w:color w:val="475569"/>
        </w:rPr>
        <w:t>Normativa Oficial — Sección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FUNDAMENTO LEGAL</w:t>
      </w:r>
    </w:p>
    <w:p>
      <w:pPr>
        <w:jc w:val="both"/>
        <w:spacing w:after="120"/>
      </w:pPr>
      <w:r>
        <w:t>En cumplimiento estricto de la directiva institucional de género y salvaguarda de derechos fundamentales.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MEDIDAS DISPUESTAS</w:t>
      </w:r>
    </w:p>
    <w:p>
      <w:pPr>
        <w:jc w:val="both"/>
        <w:spacing w:after="100"/>
      </w:pPr>
      <w:r>
        <w:t>a) Prohibición absoluta de comunicación directa o indirecta con la presunta víctima.</w:t>
      </w:r>
    </w:p>
    <w:p>
      <w:pPr>
        <w:jc w:val="both"/>
        <w:spacing w:after="100"/>
      </w:pPr>
      <w:r>
        <w:t>b) Reasignación inmediata de rol de guardia y comisiones externas.</w:t>
      </w:r>
    </w:p>
    <w:p>
      <w:pPr>
        <w:jc w:val="both"/>
        <w:spacing w:after="100"/>
      </w:pPr>
      <w:r>
        <w:t>c) Conminatoria de abstención de represalias disciplinarias o administrativas.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ACEPTACIÓN</w:t>
      </w:r>
    </w:p>
    <w:p>
      <w:pPr>
        <w:jc w:val="both"/>
        <w:spacing w:after="120"/>
      </w:pPr>
      <w:r>
        <w:t>El personal notificado toma pleno conocimiento y se compromete a dar cumplimiento estricto.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