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E: MATRIZ DE VALORACIÓN DE RIESGO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METODOLOGÍA DE VALORACIÓN</w:t>
      </w:r>
    </w:p>
    <w:p>
      <w:pPr>
        <w:jc w:val="both"/>
        <w:spacing w:after="120"/>
      </w:pPr>
      <w:r>
        <w:t>Evaluación integral de vulnerabilidad funcional, antecedentes disciplinarios y factores de intimidación.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NIVELES DE RIESGO IDENTIFICADOS</w:t>
      </w:r>
    </w:p>
    <w:p>
      <w:pPr>
        <w:jc w:val="both"/>
        <w:spacing w:after="100"/>
      </w:pPr>
      <w:r>
        <w:t>[ ] BAJO: Acciones verbales aisladas sin afectación operacional directa.</w:t>
      </w:r>
    </w:p>
    <w:p>
      <w:pPr>
        <w:jc w:val="both"/>
        <w:spacing w:after="100"/>
      </w:pPr>
      <w:r>
        <w:t>[ ] MEDIO: Hostigamiento recurrente con amenazas al desempeño o calificación.</w:t>
      </w:r>
    </w:p>
    <w:p>
      <w:pPr>
        <w:jc w:val="both"/>
        <w:spacing w:after="100"/>
      </w:pPr>
      <w:r>
        <w:t>[ ] ALTO: Coacción grave, agresión física o abuso de autoridad consumado.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PLAN DE ACCIÓN RECOMENDADO</w:t>
      </w:r>
    </w:p>
    <w:p>
      <w:pPr>
        <w:jc w:val="both"/>
        <w:spacing w:after="120"/>
      </w:pPr>
      <w:r>
        <w:t>Aplicación inmediata del protocolo de contingencia y resguardo integral.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